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FF" w:rsidRPr="00174565" w:rsidRDefault="00147796" w:rsidP="007F5DAE">
      <w:pPr>
        <w:pStyle w:val="2"/>
        <w:jc w:val="center"/>
      </w:pPr>
      <w:r>
        <w:t xml:space="preserve">Информационное извещение </w:t>
      </w:r>
    </w:p>
    <w:p w:rsidR="00AA20FF" w:rsidRDefault="00AA20FF" w:rsidP="005712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74565">
        <w:rPr>
          <w:rFonts w:ascii="Times New Roman" w:hAnsi="Times New Roman" w:cs="Times New Roman"/>
          <w:sz w:val="24"/>
          <w:szCs w:val="24"/>
        </w:rPr>
        <w:t>о проведен</w:t>
      </w:r>
      <w:proofErr w:type="gramStart"/>
      <w:r w:rsidRPr="00174565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174565">
        <w:rPr>
          <w:rFonts w:ascii="Times New Roman" w:hAnsi="Times New Roman" w:cs="Times New Roman"/>
          <w:sz w:val="24"/>
          <w:szCs w:val="24"/>
        </w:rPr>
        <w:t>кциона  в электронной форме (электронного аукциона) на право заключения договора аренды</w:t>
      </w:r>
    </w:p>
    <w:p w:rsidR="005712BE" w:rsidRPr="00174565" w:rsidRDefault="005712BE" w:rsidP="005712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8361C" w:rsidRDefault="009C271C" w:rsidP="00124A15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1C39">
        <w:rPr>
          <w:rFonts w:ascii="Times New Roman" w:hAnsi="Times New Roman" w:cs="Times New Roman"/>
          <w:b/>
          <w:sz w:val="24"/>
          <w:szCs w:val="24"/>
        </w:rPr>
        <w:t>1.Организатор аукциона (арендодатель):</w:t>
      </w:r>
      <w:r w:rsidR="00B74410" w:rsidRPr="00441C39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B74410" w:rsidRPr="00441C39">
          <w:rPr>
            <w:rStyle w:val="a4"/>
            <w:rFonts w:ascii="Times New Roman" w:hAnsi="Times New Roman" w:cs="Times New Roman"/>
            <w:sz w:val="24"/>
            <w:szCs w:val="24"/>
          </w:rPr>
          <w:t>https://inzenskij-r73.gosweb.gosuslugi.ru</w:t>
        </w:r>
      </w:hyperlink>
      <w:r w:rsidR="00B74410" w:rsidRPr="00441C39">
        <w:rPr>
          <w:rFonts w:ascii="Times New Roman" w:hAnsi="Times New Roman" w:cs="Times New Roman"/>
          <w:sz w:val="24"/>
          <w:szCs w:val="24"/>
        </w:rPr>
        <w:t xml:space="preserve"> </w:t>
      </w:r>
      <w:r w:rsidRPr="00441C39">
        <w:rPr>
          <w:rFonts w:ascii="Times New Roman" w:hAnsi="Times New Roman" w:cs="Times New Roman"/>
          <w:sz w:val="24"/>
          <w:szCs w:val="24"/>
        </w:rPr>
        <w:t>Муниципальное учреждение Администрация муниципального образования «</w:t>
      </w:r>
      <w:proofErr w:type="spellStart"/>
      <w:r w:rsidRPr="00441C39">
        <w:rPr>
          <w:rFonts w:ascii="Times New Roman" w:hAnsi="Times New Roman" w:cs="Times New Roman"/>
          <w:sz w:val="24"/>
          <w:szCs w:val="24"/>
        </w:rPr>
        <w:t>Инзенский</w:t>
      </w:r>
      <w:proofErr w:type="spellEnd"/>
      <w:r w:rsidRPr="00441C39">
        <w:rPr>
          <w:rFonts w:ascii="Times New Roman" w:hAnsi="Times New Roman" w:cs="Times New Roman"/>
          <w:sz w:val="24"/>
          <w:szCs w:val="24"/>
        </w:rPr>
        <w:t xml:space="preserve"> район» (433030, г. Инза, ул. Заводская, д. 2,  </w:t>
      </w:r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Адрес электронной почты: </w:t>
      </w:r>
      <w:hyperlink r:id="rId10" w:history="1"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kumizoinza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 Номер контактного телефона: (84 -241) 2-52-03, контактное лицо: председатель муниципального учреждения Комитет по управлению муниципальным имуществом и земельным отношениям муниципального образования «</w:t>
      </w:r>
      <w:proofErr w:type="spellStart"/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Инзенский</w:t>
      </w:r>
      <w:proofErr w:type="spellEnd"/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 Фролов Максим Петрович</w:t>
      </w:r>
      <w:r w:rsidR="0008361C"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08361C" w:rsidRPr="00441C3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8361C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график работы с 8.00 до 17.00 ежедневно (кроме субботы, воскресенья и праздничные дни),  перерыв с 12.00 до 13.00</w:t>
      </w:r>
      <w:r w:rsidR="00B74410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="0008361C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).</w:t>
      </w:r>
    </w:p>
    <w:p w:rsidR="00441C39" w:rsidRPr="00441C39" w:rsidRDefault="00441C39" w:rsidP="00124A15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124A15" w:rsidRPr="00441C39" w:rsidRDefault="00DD0FF1" w:rsidP="00124A1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124A15" w:rsidRPr="00441C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Оператор электронной площадки</w:t>
      </w:r>
      <w:r w:rsidR="00124A15" w:rsidRPr="00441C3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: </w:t>
      </w:r>
      <w:hyperlink r:id="rId11" w:history="1"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eastAsia="ar-SA"/>
          </w:rPr>
          <w:t>https://www.roseltorg.r</w:t>
        </w:r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val="en-US" w:eastAsia="ar-SA"/>
          </w:rPr>
          <w:t>u</w:t>
        </w:r>
      </w:hyperlink>
      <w:r w:rsidR="00124A15"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Акционерное общество «Единая электронная торговая площадка» (далее - АО ЕЭТП) входит в </w:t>
      </w:r>
      <w:hyperlink r:id="rId12" w:history="1"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eastAsia="ar-SA"/>
          </w:rPr>
          <w:t>перечень</w:t>
        </w:r>
      </w:hyperlink>
      <w:r w:rsidR="00124A15"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операторов электронных площадок, утвержденный Распоряжением Правительством Российской Федерации от 04.12.2015 № 2488-р.</w:t>
      </w:r>
    </w:p>
    <w:p w:rsidR="00124A15" w:rsidRPr="00441C39" w:rsidRDefault="00124A15" w:rsidP="00124A15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>Адрес: 115114, Москва, ул. </w:t>
      </w:r>
      <w:proofErr w:type="spellStart"/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>Кожевническая</w:t>
      </w:r>
      <w:proofErr w:type="spellEnd"/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 14, стр. 5, тел.: +7 495 276-16-26, +7 495 730-59-07, электронная почта: </w:t>
      </w:r>
      <w:hyperlink r:id="rId13" w:history="1">
        <w:r w:rsidRPr="00441C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ar-SA"/>
          </w:rPr>
          <w:t>info@roseltorg.ru</w:t>
        </w:r>
      </w:hyperlink>
      <w:r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35A7C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24A15" w:rsidRDefault="00124A15" w:rsidP="00265F3D">
      <w:pPr>
        <w:suppressAutoHyphens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1C3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Оператор электронной площадки (Оператор) - юридическое лицо, владеющее электронной площадкой, в том числе необходимыми для ее функционирования программными и техническими средствами, обеспечивающее ее функционирование. Оператор обеспечивает выполнение функций по подготовке, получению, анализу, обработке, предоставлению информации, проведению процедур в электронной форме в соответствии с требованиями действующего законодательства, регулирует отношения сторон, возникающие в этих процедурах, с учётом  утверждённого Оператором Регламента.</w:t>
      </w:r>
      <w:r w:rsidR="00265F3D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Регламент электронной площадки: </w:t>
      </w:r>
      <w:hyperlink r:id="rId14" w:history="1">
        <w:r w:rsidR="00265F3D" w:rsidRPr="00441C39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ar-SA"/>
          </w:rPr>
          <w:t>https://www.roseltorg.ru/_flysystem/webdav/2023/03/01/reglam_178_28022023.pdf</w:t>
        </w:r>
      </w:hyperlink>
      <w:r w:rsidR="00265F3D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41C39" w:rsidRPr="00441C39" w:rsidRDefault="00441C39" w:rsidP="00265F3D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24A15" w:rsidRDefault="00124A15" w:rsidP="00174565">
      <w:pPr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4565">
        <w:rPr>
          <w:rFonts w:ascii="Times New Roman" w:hAnsi="Times New Roman" w:cs="Times New Roman"/>
          <w:sz w:val="24"/>
          <w:szCs w:val="24"/>
        </w:rPr>
        <w:tab/>
      </w:r>
      <w:r w:rsidRPr="00441C39">
        <w:rPr>
          <w:rFonts w:ascii="Times New Roman" w:hAnsi="Times New Roman" w:cs="Times New Roman"/>
          <w:b/>
          <w:sz w:val="24"/>
          <w:szCs w:val="24"/>
        </w:rPr>
        <w:t>3.</w:t>
      </w:r>
      <w:r w:rsidRPr="00441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</w:t>
      </w:r>
      <w:r w:rsidRPr="001745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 власти, принявшего решение о проведении торгов на право заключения договора аренды земельного участка, реквизиты данного решения: </w:t>
      </w:r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учреждение Администрация муниципального образования «</w:t>
      </w:r>
      <w:proofErr w:type="spellStart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Инзенский</w:t>
      </w:r>
      <w:proofErr w:type="spellEnd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район», Постановление Администрации МО «</w:t>
      </w:r>
      <w:proofErr w:type="spellStart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Инзенский</w:t>
      </w:r>
      <w:proofErr w:type="spellEnd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</w:t>
      </w:r>
      <w:r w:rsidR="00A174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Постановление от 06.02.2025 №77</w:t>
      </w:r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проведен</w:t>
      </w:r>
      <w:proofErr w:type="gramStart"/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ии ау</w:t>
      </w:r>
      <w:proofErr w:type="gramEnd"/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кциона в электронной форме (электронного аукциона) на право заключения договора аренды земельного участка».</w:t>
      </w:r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74565" w:rsidRPr="00174565" w:rsidRDefault="00174565" w:rsidP="00C55622">
      <w:pPr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09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174565">
        <w:rPr>
          <w:rFonts w:ascii="Times New Roman" w:hAnsi="Times New Roman" w:cs="Times New Roman"/>
          <w:b/>
          <w:bCs/>
          <w:sz w:val="24"/>
          <w:szCs w:val="24"/>
        </w:rPr>
        <w:t xml:space="preserve"> Способ предоставления в аренду</w:t>
      </w:r>
      <w:r w:rsidRPr="00174565">
        <w:rPr>
          <w:rFonts w:ascii="Times New Roman" w:hAnsi="Times New Roman" w:cs="Times New Roman"/>
          <w:bCs/>
          <w:sz w:val="24"/>
          <w:szCs w:val="24"/>
        </w:rPr>
        <w:t>: аукцион в электронной форме (электронный аукцион)</w:t>
      </w:r>
      <w:r w:rsidR="00C55622">
        <w:rPr>
          <w:rFonts w:ascii="Times New Roman" w:hAnsi="Times New Roman" w:cs="Times New Roman"/>
          <w:sz w:val="24"/>
          <w:szCs w:val="24"/>
        </w:rPr>
        <w:t>.</w:t>
      </w:r>
    </w:p>
    <w:p w:rsidR="00174565" w:rsidRPr="00174565" w:rsidRDefault="00C55622" w:rsidP="00174565">
      <w:pPr>
        <w:ind w:right="-284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174565" w:rsidRPr="001745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.Информация о предмете аукциона: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3548"/>
        <w:gridCol w:w="2410"/>
        <w:gridCol w:w="2409"/>
        <w:gridCol w:w="1701"/>
        <w:gridCol w:w="1560"/>
        <w:gridCol w:w="1842"/>
      </w:tblGrid>
      <w:tr w:rsidR="00A17470" w:rsidRPr="00A17470" w:rsidTr="00C55E47">
        <w:tc>
          <w:tcPr>
            <w:tcW w:w="813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</w:t>
            </w:r>
          </w:p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8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Основные характеристики земельного участка</w:t>
            </w:r>
          </w:p>
        </w:tc>
        <w:tc>
          <w:tcPr>
            <w:tcW w:w="2410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Адрес (местоположение)</w:t>
            </w:r>
          </w:p>
        </w:tc>
        <w:tc>
          <w:tcPr>
            <w:tcW w:w="2409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Начальная</w:t>
            </w:r>
          </w:p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цена предмета аукциона</w:t>
            </w:r>
          </w:p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(ежегодный размер арендной платы), в руб. без учета НДС</w:t>
            </w:r>
          </w:p>
        </w:tc>
        <w:tc>
          <w:tcPr>
            <w:tcW w:w="1701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Шаг</w:t>
            </w:r>
          </w:p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аукциона, в руб.</w:t>
            </w:r>
          </w:p>
        </w:tc>
        <w:tc>
          <w:tcPr>
            <w:tcW w:w="1560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</w:t>
            </w:r>
          </w:p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задатка, в руб.</w:t>
            </w:r>
          </w:p>
        </w:tc>
        <w:tc>
          <w:tcPr>
            <w:tcW w:w="1842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Срок</w:t>
            </w:r>
          </w:p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аренды</w:t>
            </w:r>
          </w:p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земельного</w:t>
            </w:r>
          </w:p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участка</w:t>
            </w:r>
          </w:p>
        </w:tc>
      </w:tr>
      <w:tr w:rsidR="00A17470" w:rsidRPr="00A17470" w:rsidTr="00C55E47">
        <w:tc>
          <w:tcPr>
            <w:tcW w:w="813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8" w:type="dxa"/>
          </w:tcPr>
          <w:p w:rsidR="00A17470" w:rsidRPr="00A17470" w:rsidRDefault="00A17470" w:rsidP="00A17470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Земельный участок, с кадастровым номером 73:04:030150:528, категории земель: земли населенных пунктов, вид разрешенного использования: объекты гаражного назначения, общая площадь:  30  </w:t>
            </w:r>
            <w:proofErr w:type="spellStart"/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Российская Федерация, Ульяновская область, </w:t>
            </w:r>
            <w:proofErr w:type="spellStart"/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район, г. Инза, ул. Фрунзе, земельный участок 2/1</w:t>
            </w:r>
          </w:p>
        </w:tc>
        <w:tc>
          <w:tcPr>
            <w:tcW w:w="2409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586,44</w:t>
            </w:r>
          </w:p>
        </w:tc>
        <w:tc>
          <w:tcPr>
            <w:tcW w:w="1701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17,60</w:t>
            </w:r>
          </w:p>
        </w:tc>
        <w:tc>
          <w:tcPr>
            <w:tcW w:w="1560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1759,32</w:t>
            </w:r>
          </w:p>
        </w:tc>
        <w:tc>
          <w:tcPr>
            <w:tcW w:w="1842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 лет</w:t>
            </w:r>
          </w:p>
        </w:tc>
      </w:tr>
    </w:tbl>
    <w:p w:rsidR="00174565" w:rsidRDefault="00C55622" w:rsidP="00174565">
      <w:pPr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C55622" w:rsidRDefault="00C55622" w:rsidP="00441C39">
      <w:pPr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E7008" w:rsidRPr="004E7008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правах на земельный участок:  </w:t>
      </w:r>
      <w:r w:rsidR="004E7008" w:rsidRPr="004E7008">
        <w:rPr>
          <w:rFonts w:ascii="Times New Roman" w:hAnsi="Times New Roman" w:cs="Times New Roman"/>
          <w:bCs/>
          <w:sz w:val="24"/>
          <w:szCs w:val="24"/>
        </w:rPr>
        <w:t>земельный участок относится к землям государственная, собственность на которые не разграничена.</w:t>
      </w:r>
    </w:p>
    <w:p w:rsidR="00C8221E" w:rsidRDefault="00651ECE" w:rsidP="00C8221E">
      <w:pPr>
        <w:ind w:right="-284"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651ECE">
        <w:rPr>
          <w:rFonts w:ascii="Times New Roman" w:hAnsi="Times New Roman" w:cs="Times New Roman"/>
          <w:b/>
          <w:bCs/>
          <w:sz w:val="24"/>
          <w:szCs w:val="24"/>
        </w:rPr>
        <w:t>Сведения о проведенных торгах:</w:t>
      </w:r>
      <w:r w:rsidRPr="00651E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B3952">
        <w:rPr>
          <w:rFonts w:ascii="Times New Roman" w:hAnsi="Times New Roman"/>
          <w:sz w:val="24"/>
          <w:szCs w:val="24"/>
        </w:rPr>
        <w:t>торги не проводились</w:t>
      </w:r>
    </w:p>
    <w:p w:rsidR="004852DF" w:rsidRPr="00F518C5" w:rsidRDefault="004852DF" w:rsidP="00441C39">
      <w:pPr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>Круг</w:t>
      </w:r>
      <w:r w:rsidR="00F518C5">
        <w:rPr>
          <w:rFonts w:ascii="Times New Roman" w:hAnsi="Times New Roman" w:cs="Times New Roman"/>
          <w:b/>
          <w:bCs/>
          <w:sz w:val="24"/>
          <w:szCs w:val="24"/>
        </w:rPr>
        <w:t xml:space="preserve"> (состав)</w:t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 xml:space="preserve"> участников аукциона:</w:t>
      </w:r>
      <w:r w:rsidR="00F518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18C5" w:rsidRPr="00F518C5">
        <w:rPr>
          <w:rFonts w:ascii="Times New Roman" w:hAnsi="Times New Roman" w:cs="Times New Roman"/>
          <w:bCs/>
          <w:sz w:val="24"/>
          <w:szCs w:val="24"/>
        </w:rPr>
        <w:t>открытый.</w:t>
      </w:r>
    </w:p>
    <w:p w:rsidR="00993CD2" w:rsidRPr="00993CD2" w:rsidRDefault="00993CD2" w:rsidP="00441C39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Условия использования земельного участка: </w:t>
      </w:r>
    </w:p>
    <w:p w:rsidR="00993CD2" w:rsidRDefault="00993CD2" w:rsidP="00441C39">
      <w:pPr>
        <w:suppressAutoHyphens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силу части 17 статьи 39.8. </w:t>
      </w:r>
      <w:proofErr w:type="gramStart"/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>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находящийся в государственной или муниципальной собственности, в части изменения вида разрешённого использования такого земельного участка, не допускается.</w:t>
      </w:r>
      <w:proofErr w:type="gramEnd"/>
    </w:p>
    <w:p w:rsidR="00441C39" w:rsidRPr="00993CD2" w:rsidRDefault="00441C39" w:rsidP="00993CD2">
      <w:pPr>
        <w:suppressAutoHyphens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E7008" w:rsidRPr="004E7008" w:rsidRDefault="004E7008" w:rsidP="00441C39">
      <w:pPr>
        <w:ind w:right="-284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0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технических условиях подключения объектов к сетям инженерно-технического обеспечения и информация о плате за подключение (техническое присоединение):</w:t>
      </w:r>
    </w:p>
    <w:p w:rsidR="004E7008" w:rsidRPr="004E7008" w:rsidRDefault="004E7008" w:rsidP="00441C39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008">
        <w:rPr>
          <w:rFonts w:ascii="Times New Roman" w:eastAsia="Times New Roman" w:hAnsi="Times New Roman" w:cs="Times New Roman"/>
          <w:sz w:val="24"/>
          <w:szCs w:val="24"/>
          <w:lang w:eastAsia="ru-RU"/>
        </w:rPr>
        <w:t>1.Электр</w:t>
      </w:r>
      <w:r w:rsidR="00A174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оснабжение (ООО «Объединенные электрические сети</w:t>
      </w:r>
      <w:r w:rsidRPr="004E700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17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№81 от 06.02.2025</w:t>
      </w:r>
      <w:r w:rsidRPr="004E7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техническая возможность для технологического присоединения </w:t>
      </w:r>
      <w:proofErr w:type="spellStart"/>
      <w:r w:rsidRPr="004E700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Pr="004E7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к электрическим сетям земельного участка имеется. </w:t>
      </w:r>
    </w:p>
    <w:p w:rsidR="00A17470" w:rsidRPr="00A17470" w:rsidRDefault="00A17470" w:rsidP="00A17470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Техническая возможность для технологического присоединения </w:t>
      </w:r>
      <w:proofErr w:type="spellStart"/>
      <w:r w:rsidRPr="00A1747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Pr="00A17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устройств, к электрическим сетям ООО «ОЭС» имеется;</w:t>
      </w:r>
    </w:p>
    <w:p w:rsidR="00A17470" w:rsidRPr="00A17470" w:rsidRDefault="00A17470" w:rsidP="00A17470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7470" w:rsidRPr="00A17470" w:rsidRDefault="00A17470" w:rsidP="00A17470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4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характеристики предполагаемых присоединений, и срок подключения объектов капитального строительства к электрическим сетям будут определены в соответствии с договором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технологического присоединения;</w:t>
      </w:r>
    </w:p>
    <w:p w:rsidR="00A17470" w:rsidRPr="00A17470" w:rsidRDefault="00A17470" w:rsidP="00A17470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технических условий - 2 года с момента заключения договора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технологического присоединения;</w:t>
      </w:r>
    </w:p>
    <w:p w:rsidR="00A17470" w:rsidRDefault="00A17470" w:rsidP="00A17470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платы за технологическое присоединение </w:t>
      </w:r>
      <w:proofErr w:type="spellStart"/>
      <w:r w:rsidRPr="00A1747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Pr="00A17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определяется в соответствии с Приказом Агентства по регулированию цен и тарифов Ульяновской области №102-П от «28» ноября 2024 г. «Об утверждении стандартизированных тарифных ставок и формул платы за технологическое присоединение к электрическим сетям территориальных сетевых организаций Ульяновской области на 2024 год».</w:t>
      </w:r>
    </w:p>
    <w:p w:rsidR="00A17470" w:rsidRDefault="009F7F03" w:rsidP="00A17470">
      <w:pPr>
        <w:spacing w:after="0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F03">
        <w:rPr>
          <w:rFonts w:ascii="Times New Roman" w:eastAsia="Times New Roman" w:hAnsi="Times New Roman" w:cs="Times New Roman"/>
          <w:sz w:val="24"/>
          <w:szCs w:val="24"/>
          <w:lang w:eastAsia="ru-RU"/>
        </w:rPr>
        <w:t>2.Теплоснабжение (ООО «Кит-Энергия»</w:t>
      </w:r>
      <w:r w:rsidR="00A17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№18 от 14.01.2025</w:t>
      </w:r>
      <w:r w:rsidRPr="009F7F03">
        <w:rPr>
          <w:rFonts w:ascii="Times New Roman" w:eastAsia="Times New Roman" w:hAnsi="Times New Roman" w:cs="Times New Roman"/>
          <w:sz w:val="24"/>
          <w:szCs w:val="24"/>
          <w:lang w:eastAsia="ru-RU"/>
        </w:rPr>
        <w:t>): подключение к центральному отоплению  не представляется возможным, в связи с отсутствием технологической возможности.</w:t>
      </w:r>
    </w:p>
    <w:p w:rsidR="00C42653" w:rsidRDefault="009F7F03" w:rsidP="00920844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F03">
        <w:rPr>
          <w:rFonts w:ascii="Times New Roman" w:eastAsia="Times New Roman" w:hAnsi="Times New Roman" w:cs="Times New Roman"/>
          <w:sz w:val="24"/>
          <w:szCs w:val="24"/>
          <w:lang w:eastAsia="ru-RU"/>
        </w:rPr>
        <w:t>3.Водоснабж</w:t>
      </w:r>
      <w:r w:rsid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ение, водоотведение (ОГКП «Ульяно</w:t>
      </w:r>
      <w:r w:rsidR="00A1747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вский областной водоканал» от 14.01.2025</w:t>
      </w:r>
      <w:r w:rsidR="007D2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№73-ИОГВ -07-</w:t>
      </w:r>
      <w:r w:rsidR="00A17470">
        <w:rPr>
          <w:rFonts w:ascii="Times New Roman" w:eastAsia="Times New Roman" w:hAnsi="Times New Roman" w:cs="Times New Roman"/>
          <w:sz w:val="24"/>
          <w:szCs w:val="24"/>
          <w:lang w:eastAsia="ru-RU"/>
        </w:rPr>
        <w:t>ТО-02.01/27</w:t>
      </w:r>
      <w:r w:rsid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</w:t>
      </w:r>
      <w:r w:rsidRPr="009F7F0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20844" w:rsidRPr="00920844" w:rsidRDefault="00920844" w:rsidP="00920844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нагрузка подключаемого объекта определяется проектным решением правообладателя земельного участка в пределах свободной мощности сетей.</w:t>
      </w:r>
    </w:p>
    <w:p w:rsidR="00920844" w:rsidRPr="00920844" w:rsidRDefault="00920844" w:rsidP="00920844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2084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постановлением Правительства РФ от 30.11.2021г. №2130 Подключение подключаемых объектов к централизованным системам холодного водоснабжения и (или) водоотведения при наличии на день заключения договора о подключении технической возможности подключения осуществляется в срок, который не может превышать 18 месяцев со дня заключения договора о подключении, за исключением случаев, когда более длительные сроки указаны заявителем в заявлении о подключении</w:t>
      </w:r>
      <w:proofErr w:type="gramEnd"/>
      <w:r w:rsidRPr="009208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gramStart"/>
      <w:r w:rsidRPr="0092084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определены</w:t>
      </w:r>
      <w:proofErr w:type="gramEnd"/>
      <w:r w:rsidRPr="009208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договоре о подключении по соглашению между исполнителем и заявителем.</w:t>
      </w:r>
    </w:p>
    <w:p w:rsidR="00920844" w:rsidRPr="00920844" w:rsidRDefault="00920844" w:rsidP="00920844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2084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получения технических условий на подключение проектируемого объекта к сети водоснабжения и (или) водоотведения правообладателю земельного участка необходимо обратиться в ОГКП «Ульяновский областной водоканал» в производственно-технический отдел с Запросом о выдаче технических условий подключения и требуемыми документами, указанными в п. 14 «Правил подключения (технологического присоединения) объектов капитального строительства к централизованным системам горячего водоснабжения, холодного водоснабжения и (или) водоотведения», утвержденных постановлением</w:t>
      </w:r>
      <w:proofErr w:type="gramEnd"/>
      <w:r w:rsidRPr="009208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30 ноября 2021 годе</w:t>
      </w:r>
    </w:p>
    <w:p w:rsidR="00920844" w:rsidRPr="00920844" w:rsidRDefault="00920844" w:rsidP="00920844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плате за подключение объекта.</w:t>
      </w:r>
    </w:p>
    <w:p w:rsidR="00920844" w:rsidRPr="00920844" w:rsidRDefault="00920844" w:rsidP="00920844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подключение к централизованной системе водоснабжение и (или) водоотведения указывается в договоре о подключении и рассчитываете; ОГКП «Ульяновский областной водоканал» по формуле 50 «Методические указаний по расчету регулируемых тарифов в сфере водоснабжение и водоотведения» (приказ ФСТ России от 27.1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2.2013г. №1746-э) на основе двух</w:t>
      </w:r>
      <w:r w:rsidRPr="009208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ставок тарифов - ставки тарифа за подключаемую нагрузку сети и </w:t>
      </w:r>
      <w:proofErr w:type="spellStart"/>
      <w:r w:rsidRPr="009208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ставю</w:t>
      </w:r>
      <w:proofErr w:type="spellEnd"/>
      <w:r w:rsidRPr="009208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тарифов за протяженность сети с учетом подключаемой нагрузки абонент; и протяженности создаваемой сети от точки подключения к сетям ОГКГ «Ульяновский областной водоканал» до земельного участка абонента.</w:t>
      </w:r>
    </w:p>
    <w:p w:rsidR="00920844" w:rsidRPr="00920844" w:rsidRDefault="00920844" w:rsidP="00920844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Окончательная стоимость рабо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по подключению объекта к сетям</w:t>
      </w:r>
      <w:r w:rsidRPr="009208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водоснабжения определяется расчетом с учетом объема водопотребления протяженности, диаметра подводящего водовода и прописывается в договоре </w:t>
      </w:r>
      <w:proofErr w:type="gramStart"/>
      <w:r w:rsidRPr="0092084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920844">
        <w:rPr>
          <w:rFonts w:ascii="Times New Roman" w:eastAsia="Times New Roman" w:hAnsi="Times New Roman" w:cs="Times New Roman"/>
          <w:sz w:val="24"/>
          <w:szCs w:val="24"/>
          <w:lang w:eastAsia="ru-RU"/>
        </w:rPr>
        <w:t>; подключение (технологическое присоединение).</w:t>
      </w:r>
    </w:p>
    <w:p w:rsidR="00C42653" w:rsidRDefault="00920844" w:rsidP="00F34694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технических условий составляет 3 года со дня выдачи</w:t>
      </w:r>
      <w:proofErr w:type="gramStart"/>
      <w:r w:rsidRPr="009208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920844">
        <w:rPr>
          <w:rFonts w:ascii="Times New Roman" w:eastAsia="Times New Roman" w:hAnsi="Times New Roman" w:cs="Times New Roman"/>
          <w:sz w:val="24"/>
          <w:szCs w:val="24"/>
          <w:lang w:eastAsia="ru-RU"/>
        </w:rPr>
        <w:t>о истечении этого срока параметры выданны</w:t>
      </w:r>
      <w:r w:rsidR="000815D9">
        <w:rPr>
          <w:rFonts w:ascii="Times New Roman" w:eastAsia="Times New Roman" w:hAnsi="Times New Roman" w:cs="Times New Roman"/>
          <w:sz w:val="24"/>
          <w:szCs w:val="24"/>
          <w:lang w:eastAsia="ru-RU"/>
        </w:rPr>
        <w:t>х технических условий могут быть</w:t>
      </w:r>
      <w:r w:rsidR="00F3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изменены.</w:t>
      </w:r>
    </w:p>
    <w:p w:rsidR="00AB4BA0" w:rsidRPr="00AB4BA0" w:rsidRDefault="00AB4BA0" w:rsidP="00441C3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Газоснабжение (ООО «Газпром газораспределение Ульяновск» филиал в г. Барыш №</w:t>
      </w:r>
      <w:r w:rsidR="00F34694">
        <w:rPr>
          <w:rFonts w:ascii="Times New Roman" w:eastAsia="Times New Roman" w:hAnsi="Times New Roman" w:cs="Times New Roman"/>
          <w:sz w:val="24"/>
          <w:szCs w:val="24"/>
          <w:lang w:eastAsia="ru-RU"/>
        </w:rPr>
        <w:t>18/02 от 16.01.2025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AB4BA0" w:rsidRDefault="00AB4BA0" w:rsidP="00441C3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подключения имеется.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Характеристики предполагаемых присоединений, следующие: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нагрузка подключаемого объекта определяется проектным решением заказчика в пределах свободной мощности существующих сетей, </w:t>
      </w:r>
      <w:r w:rsidR="00166DEF">
        <w:rPr>
          <w:rFonts w:ascii="Times New Roman" w:eastAsia="Times New Roman" w:hAnsi="Times New Roman" w:cs="Times New Roman"/>
          <w:sz w:val="24"/>
          <w:szCs w:val="24"/>
          <w:lang w:eastAsia="ru-RU"/>
        </w:rPr>
        <w:t>м3/час –</w:t>
      </w:r>
      <w:r w:rsidR="00F3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7</w:t>
      </w:r>
      <w:r w:rsidR="00AA3A39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подключения объекта капитального строительства к сетям газораспределения: срок подключения (технологического присоединения) к сетям газораспределения объекта капитального строительства определяется готовностью заказчика к данным действиям, но не позднее сроков, определенных Постановлением Прави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тельства РФ №1547 от 13.09.2021. 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технических условий: срок действия технических условий определяется </w:t>
      </w:r>
      <w:proofErr w:type="gramStart"/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требований</w:t>
      </w:r>
      <w:proofErr w:type="gramEnd"/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Постановления Прави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тельства РФ №1547 от 13.09.2021. 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подключение к сетям газораспределения: размер платы за технологическое присоединение определяется приказом Агентства по регулированию цен и т</w:t>
      </w:r>
      <w:r w:rsidR="00E067F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арифов Ульян</w:t>
      </w:r>
      <w:r w:rsidR="00F34694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овской области от 23.12.2024№306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67FC" w:rsidRDefault="00E067FC" w:rsidP="00441C3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BA0" w:rsidRPr="00AB4BA0" w:rsidRDefault="00AB4BA0" w:rsidP="00441C3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4BA0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Параметры разрешенного строительства</w:t>
      </w:r>
      <w:r w:rsidRPr="00AB4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077C25" w:rsidRDefault="00A0615D" w:rsidP="00441C39">
      <w:pPr>
        <w:tabs>
          <w:tab w:val="left" w:pos="825"/>
        </w:tabs>
        <w:autoSpaceDE w:val="0"/>
        <w:snapToGrid w:val="0"/>
        <w:spacing w:after="0" w:line="240" w:lineRule="auto"/>
        <w:ind w:left="-5" w:right="-284" w:firstLine="5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7C25" w:rsidRPr="00077C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Правилам землепользования и застройки муниципального образования «</w:t>
      </w:r>
      <w:proofErr w:type="spellStart"/>
      <w:r w:rsidR="00077C25" w:rsidRPr="00077C2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Инзенское</w:t>
      </w:r>
      <w:proofErr w:type="spellEnd"/>
      <w:r w:rsidR="00077C25" w:rsidRPr="00077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городское поселение» утвержден</w:t>
      </w:r>
      <w:r w:rsidR="00BB678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077C25" w:rsidRPr="00077C25">
        <w:rPr>
          <w:rFonts w:ascii="Times New Roman" w:eastAsia="Times New Roman" w:hAnsi="Times New Roman" w:cs="Times New Roman"/>
          <w:sz w:val="24"/>
          <w:szCs w:val="24"/>
          <w:lang w:eastAsia="ru-RU"/>
        </w:rPr>
        <w:t>ым решением совета депутатов МО «</w:t>
      </w:r>
      <w:proofErr w:type="spellStart"/>
      <w:r w:rsidR="00077C25" w:rsidRPr="00077C2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Инзенское</w:t>
      </w:r>
      <w:proofErr w:type="spellEnd"/>
      <w:r w:rsidR="00077C25" w:rsidRPr="00077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городское поселение» от 23.12.2015 №39 (внесены изменения решением Совета депутатов МО «</w:t>
      </w:r>
      <w:proofErr w:type="spellStart"/>
      <w:r w:rsidR="00077C25" w:rsidRPr="00077C2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Инзенское</w:t>
      </w:r>
      <w:proofErr w:type="spellEnd"/>
      <w:r w:rsidR="00077C25" w:rsidRPr="00077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городское поселение» от 25.12.2018 №16) земельный участок распо</w:t>
      </w:r>
      <w:r w:rsidR="00BB678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 в территориаль</w:t>
      </w:r>
      <w:r w:rsidR="007D2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зоне </w:t>
      </w:r>
      <w:r w:rsidR="007D2139" w:rsidRPr="007D2139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Start"/>
      <w:r w:rsidR="007D2139" w:rsidRPr="007D213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="007D2139" w:rsidRPr="007D2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 застройки </w:t>
      </w:r>
      <w:proofErr w:type="spellStart"/>
      <w:r w:rsidR="007D2139" w:rsidRPr="007D213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среднеэтажными</w:t>
      </w:r>
      <w:proofErr w:type="spellEnd"/>
      <w:r w:rsidR="007D2139" w:rsidRPr="007D2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жилыми домами.</w:t>
      </w:r>
      <w:r w:rsidR="007D2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</w:p>
    <w:p w:rsidR="007D2139" w:rsidRDefault="007D2139" w:rsidP="00AA3A39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 CYR" w:hAnsi="Times New Roman" w:cs="Times New Roman"/>
          <w:sz w:val="24"/>
          <w:szCs w:val="24"/>
        </w:rPr>
      </w:pPr>
      <w:r>
        <w:rPr>
          <w:rFonts w:ascii="Times New Roman" w:eastAsia="Arial CYR" w:hAnsi="Times New Roman" w:cs="Times New Roman"/>
          <w:sz w:val="24"/>
          <w:szCs w:val="24"/>
        </w:rPr>
        <w:t xml:space="preserve">             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3177"/>
        <w:gridCol w:w="1482"/>
        <w:gridCol w:w="900"/>
        <w:gridCol w:w="971"/>
        <w:gridCol w:w="900"/>
        <w:gridCol w:w="1482"/>
        <w:gridCol w:w="1359"/>
        <w:gridCol w:w="1359"/>
        <w:gridCol w:w="1306"/>
        <w:gridCol w:w="1182"/>
      </w:tblGrid>
      <w:tr w:rsidR="00226535" w:rsidRPr="00226535" w:rsidTr="00C55E47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Код (числовое обозначение вида разрешенного использования)</w:t>
            </w:r>
          </w:p>
        </w:tc>
        <w:tc>
          <w:tcPr>
            <w:tcW w:w="2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Предельные (минимальные</w:t>
            </w:r>
            <w:proofErr w:type="gramEnd"/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 (или) максимальные) размеры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земельного</w:t>
            </w:r>
            <w:proofErr w:type="gramEnd"/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участков, в том числе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их площадь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Минимальные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отступы от границ земельного участка в целях определения мест допустимого размещения, строений,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сооружений, за пределами которых запрещено строительство зданий, строений, 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Предельное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количество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этажей и (или)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предельная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высота зданий,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строений,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Максимальный процент застройки в границах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земельного участка, </w:t>
            </w:r>
            <w:proofErr w:type="gramStart"/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определяемый</w:t>
            </w:r>
            <w:proofErr w:type="gramEnd"/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Требования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 архитектурным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решениям объектов капитального строительства, расположенным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показатели</w:t>
            </w:r>
          </w:p>
        </w:tc>
      </w:tr>
      <w:tr w:rsidR="00226535" w:rsidRPr="00226535" w:rsidTr="00C55E47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226535" w:rsidRPr="00226535" w:rsidTr="00C55E47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Длина, </w:t>
            </w:r>
            <w:proofErr w:type="gramStart"/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м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Площад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ь, м</w:t>
            </w:r>
            <w:proofErr w:type="gramStart"/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или га</w:t>
            </w: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535" w:rsidRPr="00226535" w:rsidTr="00C55E47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Среднеэтажная</w:t>
            </w:r>
            <w:proofErr w:type="spellEnd"/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жилая застройка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Для индивидуального жилищного строительства;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Приусадебный участок личного подсобного хозяйства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Коммунальное обслуживание 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Магазины 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Обслуживание автотранспорта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Земельные участки (территории) общего пользования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Образование и просвещение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Культурное развитие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Спорт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Объекты гаражного назначения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Малоэтажная  многоквартирная жилая застройка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Блокированная жилая застройка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Ведение огородничества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Ведение садоводства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Ведение дачного хозяйства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2.5</w:t>
            </w: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2.1</w:t>
            </w: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2.2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3.1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4.4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4.9</w:t>
            </w: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12.0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3.5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3.6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5.1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2.7.1.</w:t>
            </w: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2.1.1.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2.3</w:t>
            </w: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13.1</w:t>
            </w: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13.2</w:t>
            </w: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13.3</w:t>
            </w: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ab/>
            </w: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1. Минимальная/максимальная площадь земельного участка для ведения личного подсобного хозяйства – 300-2200 </w:t>
            </w:r>
            <w:proofErr w:type="spellStart"/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2.Минимальный/максимальный размер земельного участка для размещения индивидуальных гаражей, автостоянок – 30 кв. м. Размеры земельных участков для </w:t>
            </w:r>
            <w:proofErr w:type="spellStart"/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среднеэтажной</w:t>
            </w:r>
            <w:proofErr w:type="spellEnd"/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жилой застройки определяются в соответствии с региональными нормативами градостроительного 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проектирования.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Минимальная площадь земельного участка – 4 кв. м.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535" w:rsidRPr="00226535" w:rsidRDefault="00226535" w:rsidP="0022653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</w:pPr>
            <w:r w:rsidRPr="00226535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lastRenderedPageBreak/>
              <w:t xml:space="preserve"> Параметры застройки </w:t>
            </w:r>
            <w:proofErr w:type="spellStart"/>
            <w:r w:rsidRPr="00226535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среднеэтажными</w:t>
            </w:r>
            <w:proofErr w:type="spellEnd"/>
            <w:r w:rsidRPr="00226535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 xml:space="preserve"> жилыми домами: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Расстояния между домами внутри квартала принимаются в соответствии с нормативами противопожарной безопасности и нормативами инсоляции.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Минимальный отступ от границы соседнего земельного участка – 3 м.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</w:pPr>
            <w:r w:rsidRPr="00226535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Параметры застройки для объектов инженерной инфраструктуры не являющихся линейными:</w:t>
            </w: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Минимальный отступ от границ земельного участка в целях определения мест допустимого размещения объекта – 0,5 м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Максимальное количество этажей – 8.</w:t>
            </w: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Максимальная высота объектов – 40 м.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Этажность – 1 этаж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Максимальный процент застройки – 40 %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Коэффициент застройки – 80 %.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93DE1" w:rsidRDefault="007D2139" w:rsidP="00AA3A39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 CYR" w:hAnsi="Times New Roman" w:cs="Times New Roman"/>
          <w:sz w:val="24"/>
          <w:szCs w:val="24"/>
        </w:rPr>
      </w:pPr>
      <w:r>
        <w:rPr>
          <w:rFonts w:ascii="Times New Roman" w:eastAsia="Arial CYR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7D2139" w:rsidRDefault="007D2139" w:rsidP="00AA3A39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 CYR" w:hAnsi="Times New Roman" w:cs="Times New Roman"/>
          <w:sz w:val="24"/>
          <w:szCs w:val="24"/>
        </w:rPr>
      </w:pPr>
      <w:r>
        <w:rPr>
          <w:rFonts w:ascii="Times New Roman" w:eastAsia="Arial CYR" w:hAnsi="Times New Roman" w:cs="Times New Roman"/>
          <w:sz w:val="24"/>
          <w:szCs w:val="24"/>
        </w:rPr>
        <w:t xml:space="preserve">                </w:t>
      </w:r>
    </w:p>
    <w:p w:rsidR="00283D65" w:rsidRPr="00441C39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441C39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6.Место, сроки подачи (приема) заявок, определения участников и проведения аукциона:</w:t>
      </w:r>
    </w:p>
    <w:p w:rsidR="00283D65" w:rsidRPr="00441C39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441C39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Место подачи (приема) Заявок и проведения аукционов:</w:t>
      </w:r>
      <w:r w:rsidRPr="00441C39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Электронная площадка Акционерного общества «Единая электронная торговая площадка» (http://roseltorg.ru). </w:t>
      </w:r>
    </w:p>
    <w:p w:rsidR="007C35C7" w:rsidRPr="00441C39" w:rsidRDefault="007C35C7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Подача заявок Претендентами осуществляется в соответствии с регламентом электронной площадки. Изменение заявки допускается только путём подачи Претендентом новой заявки в установленные в извещении о проведен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>кциона сроки, при этом первоначальная заявка должна быть отозвана.</w:t>
      </w:r>
    </w:p>
    <w:p w:rsidR="007C35C7" w:rsidRPr="00441C39" w:rsidRDefault="007C35C7" w:rsidP="00D35E8B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Подача заявок на участие в аукционе осуществляется в форме электронного документа в соответствии с правилами и требованиями Продавца, установленными в извещении о проведен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кциона и документации об аукционе. 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Прием заявок и прилагаемых к ним документов начинается с даты и времени, указанных 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в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C109CC" w:rsidRPr="00441C39" w:rsidRDefault="00D35E8B" w:rsidP="00D35E8B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</w:t>
      </w:r>
      <w:r w:rsidR="00C109CC" w:rsidRPr="00441C39">
        <w:rPr>
          <w:rFonts w:ascii="Times New Roman" w:hAnsi="Times New Roman" w:cs="Times New Roman"/>
          <w:color w:val="000000"/>
          <w:sz w:val="24"/>
          <w:szCs w:val="24"/>
        </w:rPr>
        <w:t>звещении</w:t>
      </w:r>
      <w:proofErr w:type="gramEnd"/>
      <w:r w:rsidR="00C109CC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о проведении аукциона</w:t>
      </w:r>
      <w:r w:rsidR="00C109CC" w:rsidRPr="00441C39">
        <w:rPr>
          <w:rFonts w:ascii="Times New Roman" w:hAnsi="Times New Roman" w:cs="Times New Roman"/>
          <w:color w:val="00000A"/>
          <w:sz w:val="24"/>
          <w:szCs w:val="24"/>
        </w:rPr>
        <w:t>, осуществляется в сроки, установленные в И</w:t>
      </w:r>
      <w:r w:rsidR="00C109CC" w:rsidRPr="00441C39">
        <w:rPr>
          <w:rFonts w:ascii="Times New Roman" w:hAnsi="Times New Roman" w:cs="Times New Roman"/>
          <w:color w:val="000000"/>
          <w:sz w:val="24"/>
          <w:szCs w:val="24"/>
        </w:rPr>
        <w:t>звещении о проведении аукциона</w:t>
      </w:r>
      <w:r w:rsidR="00C109CC" w:rsidRPr="00441C39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указанных в И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звещении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кциона 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t>документов.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Одно лицо имеет право подать только одну заявку в отношении каждого лота.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Заявитель вправе до дня окончания срока приема заявок отозвать заявку путем направления уведомления об отзыве заявки на электронную площадку.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случае отзыва Заявителем заявки, уведомление об отзыве заявки вместе с заявкой в течение одного часа поступает в «личный кабинет» Организатора аукциона, о чем Заявителю направляется соответствующее уведомление.</w:t>
      </w:r>
    </w:p>
    <w:p w:rsidR="00C109CC" w:rsidRPr="00441C39" w:rsidRDefault="00C109CC" w:rsidP="00C109CC">
      <w:pPr>
        <w:tabs>
          <w:tab w:val="left" w:pos="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Заявитель не допускается к участию в аукционе в следующих случаях: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1) непредставление необходимых для участия в аукционе документов или представление недостоверных сведений;</w:t>
      </w:r>
    </w:p>
    <w:p w:rsidR="00C109CC" w:rsidRPr="00441C39" w:rsidRDefault="00C109CC" w:rsidP="00C109CC">
      <w:pPr>
        <w:tabs>
          <w:tab w:val="left" w:pos="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2) не поступление задатка на дату рассмотрения заявок на участие в аукционе;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 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аукциона, покупателем Земельного участка;</w:t>
      </w:r>
    </w:p>
    <w:p w:rsidR="005E73D0" w:rsidRPr="00441C39" w:rsidRDefault="00C109CC" w:rsidP="00C109CC">
      <w:pPr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</w:t>
      </w:r>
      <w:proofErr w:type="gramEnd"/>
    </w:p>
    <w:p w:rsidR="00C109CC" w:rsidRPr="00441C39" w:rsidRDefault="00C109CC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Одновременно с Заявкой на участие в аукционе Заявители (лично или через своего представителя)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109CC" w:rsidRPr="00441C39" w:rsidRDefault="00C109CC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1) заявка на участие в аукционе, по установленной в Извещении о проведение аукциона форме, с указанием банковских реквизитов счета для возврата задатка</w:t>
      </w:r>
      <w:r w:rsidR="00D35E8B"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(в соответствии с прилагаемой к извещению формой)</w:t>
      </w: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;</w:t>
      </w:r>
    </w:p>
    <w:p w:rsidR="00C109CC" w:rsidRPr="00441C39" w:rsidRDefault="00D35E8B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2)</w:t>
      </w:r>
      <w:r w:rsidR="00C109CC"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копии документов, удостоверяющих личность заявителя (для граждан);</w:t>
      </w:r>
    </w:p>
    <w:p w:rsidR="00C109CC" w:rsidRPr="00441C39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109CC" w:rsidRPr="00441C39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4) доверенность на лицо, имеющее право действовать от имени заявителя, если заявка подается представителем заявителя, оформленная в соответствии с требованиями гражданского законодательства.</w:t>
      </w:r>
    </w:p>
    <w:p w:rsidR="00C109CC" w:rsidRPr="00441C39" w:rsidRDefault="00C109CC" w:rsidP="00C109CC">
      <w:pPr>
        <w:spacing w:after="0" w:line="240" w:lineRule="auto"/>
        <w:ind w:right="-284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        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</w:t>
      </w:r>
      <w:proofErr w:type="gramStart"/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кциона.</w:t>
      </w:r>
    </w:p>
    <w:p w:rsidR="00C109CC" w:rsidRPr="00441C39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Все подаваемые Заявителем документы не должны иметь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85556B" w:rsidRPr="00441C39" w:rsidRDefault="0085556B" w:rsidP="0085556B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Документооборот между претендентами, участниками аукциона в электронной форме, оператором электронной площадки и Организатором аукциона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Претендента или участника, либо лица, имеющего право действовать от имени соответственно Организатора аукциона, Претендента</w:t>
      </w:r>
      <w:proofErr w:type="gramEnd"/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участника. Данное правило не распространяется для договора аренды земельного участка, который заключается сторонами в простой письменной форме</w:t>
      </w:r>
    </w:p>
    <w:p w:rsidR="00C109CC" w:rsidRPr="00441C39" w:rsidRDefault="00C109CC" w:rsidP="00C109CC">
      <w:pPr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lastRenderedPageBreak/>
        <w:t>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аукциона,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C109CC" w:rsidRDefault="00283D65" w:rsidP="00C109CC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-</w:t>
      </w:r>
      <w:r w:rsidR="00C109CC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Дата и время начала подачи</w:t>
      </w: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(приема) Заявок:</w:t>
      </w:r>
      <w:r w:rsidRPr="00283D6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76375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18.02.2025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с 09ч. 00 мин. (время местное)</w:t>
      </w:r>
    </w:p>
    <w:p w:rsidR="00441C39" w:rsidRPr="00C57F88" w:rsidRDefault="008A5A39" w:rsidP="00C57F88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24D3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E024D3">
        <w:rPr>
          <w:rFonts w:ascii="Times New Roman" w:hAnsi="Times New Roman" w:cs="Times New Roman"/>
          <w:color w:val="000000"/>
          <w:sz w:val="24"/>
          <w:szCs w:val="24"/>
        </w:rPr>
        <w:t>позднее</w:t>
      </w:r>
      <w:proofErr w:type="gramEnd"/>
      <w:r w:rsidRPr="00E024D3">
        <w:rPr>
          <w:rFonts w:ascii="Times New Roman" w:hAnsi="Times New Roman" w:cs="Times New Roman"/>
          <w:color w:val="000000"/>
          <w:sz w:val="24"/>
          <w:szCs w:val="24"/>
        </w:rPr>
        <w:t xml:space="preserve"> чем за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три дня до наступления даты его </w:t>
      </w:r>
      <w:r w:rsidRPr="00E024D3">
        <w:rPr>
          <w:rFonts w:ascii="Times New Roman" w:hAnsi="Times New Roman" w:cs="Times New Roman"/>
          <w:color w:val="000000"/>
          <w:sz w:val="24"/>
          <w:szCs w:val="24"/>
        </w:rPr>
        <w:t>проведения, о чем он извещает Заявителей на участие в аукционе и размещает соответствующее информационное сообщение на электронной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24D3">
        <w:rPr>
          <w:rFonts w:ascii="Times New Roman" w:hAnsi="Times New Roman" w:cs="Times New Roman"/>
          <w:color w:val="000000"/>
          <w:sz w:val="24"/>
          <w:szCs w:val="24"/>
        </w:rPr>
        <w:t>площадке, официальном сайте Организатора аукциона и официальном сайте www.torgi.gov.ru в течение 3 (трех) дней.</w:t>
      </w:r>
    </w:p>
    <w:p w:rsidR="00441C39" w:rsidRDefault="00283D65" w:rsidP="00C57F88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-Дата и время окончания подачи (приема) Заявок: </w:t>
      </w:r>
      <w:r w:rsidR="0076375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24.03</w:t>
      </w:r>
      <w:r w:rsidR="002050DF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.2025</w:t>
      </w:r>
      <w:r w:rsidR="00DD0C2D" w:rsidRP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17ч. 00 мин.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(время местное)</w:t>
      </w:r>
    </w:p>
    <w:p w:rsidR="00283D65" w:rsidRPr="00DD0C2D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-</w:t>
      </w:r>
      <w:r w:rsidR="00390470"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Дата время рассмотрения заявок (определение участников аукциона)</w:t>
      </w:r>
      <w:r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: </w:t>
      </w:r>
      <w:r w:rsidR="0076375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26.03</w:t>
      </w:r>
      <w:r w:rsidR="002050DF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.2025</w:t>
      </w:r>
      <w:r w:rsidR="0076375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11</w:t>
      </w:r>
      <w:r w:rsidR="00DD0C2D" w:rsidRP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ч. 00 мин.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(время местное)</w:t>
      </w:r>
    </w:p>
    <w:p w:rsidR="00390470" w:rsidRPr="00C109CC" w:rsidRDefault="00B742F7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Заявитель, признанный участником аукциона, становится участником аукциона </w:t>
      </w: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даты подписания</w:t>
      </w:r>
      <w:proofErr w:type="gramEnd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организатором аукциона протокола рассмотрения заявок.</w:t>
      </w:r>
    </w:p>
    <w:p w:rsidR="00390470" w:rsidRPr="00C109CC" w:rsidRDefault="005E73D0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390470" w:rsidRPr="00C109CC" w:rsidRDefault="005E73D0" w:rsidP="005E73D0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случае</w:t>
      </w: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5E73D0" w:rsidRPr="005E73D0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соответствующего протокола направляет заявителю три экземпляра подписанного проекта договора аренды земельного участка.</w:t>
      </w:r>
    </w:p>
    <w:p w:rsidR="005E73D0" w:rsidRPr="005E73D0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 этом размер арендной платы по договору аренды земельного участка определяется в размере, равном начальной цене предмета аукциона.</w:t>
      </w:r>
    </w:p>
    <w:p w:rsidR="004852DF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ии ау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договора аренды земельного участка. При этом размер арендной платы по договору аренды определяется в размере, равном начальной цене предмета аукциона.</w:t>
      </w:r>
    </w:p>
    <w:p w:rsidR="00441C39" w:rsidRPr="00C109CC" w:rsidRDefault="004852DF" w:rsidP="00C57F88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позднее</w:t>
      </w:r>
      <w:proofErr w:type="gramEnd"/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чем на следующий рабочий день после дня подписания протокола. Данный протокол после </w:t>
      </w:r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441C39" w:rsidRDefault="00283D65" w:rsidP="00283D65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        </w:t>
      </w:r>
      <w:r w:rsidRPr="005E73D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-Дата и время проведения аукционов:</w:t>
      </w:r>
      <w:r w:rsidRPr="00283D6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76375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28.03</w:t>
      </w:r>
      <w:r w:rsidR="002050DF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.2025</w:t>
      </w:r>
      <w:r w:rsidR="0076375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11</w:t>
      </w:r>
      <w:bookmarkStart w:id="0" w:name="_GoBack"/>
      <w:bookmarkEnd w:id="0"/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ч. 00 мин. (время местное).</w:t>
      </w:r>
    </w:p>
    <w:p w:rsidR="000D27D1" w:rsidRPr="00441C39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7.Срок и порядок регистрации на электронной площадке: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 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площадки.</w:t>
      </w:r>
    </w:p>
    <w:p w:rsidR="000D27D1" w:rsidRPr="00441C39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Дата и время регистрации на электронной площадке Заявителей на участие в аукционе осуществляется ежедневно, круглосуточно, но не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br/>
        <w:t>позднее даты и времени окончания подачи (приема) Заявок.</w:t>
      </w:r>
    </w:p>
    <w:p w:rsidR="000D27D1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Регистрация на электронной площадке осуществляется без взимания платы.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br/>
        <w:t>Регистрации на электронной площадке подлежат Заявители, ранее не зарегистрированные на электронной площадке или регистрация</w:t>
      </w:r>
    </w:p>
    <w:p w:rsidR="00441C39" w:rsidRPr="00441C39" w:rsidRDefault="00441C39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7811D6" w:rsidRPr="00441C39" w:rsidRDefault="00E024D3" w:rsidP="007B3F2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 </w:t>
      </w:r>
      <w:r w:rsidR="007B3F2F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ab/>
      </w:r>
      <w:r w:rsidR="00C109CC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8</w:t>
      </w:r>
      <w:r w:rsidR="00CC49DA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Порядок внесения задатка и его возврата:</w:t>
      </w:r>
    </w:p>
    <w:p w:rsidR="009076FD" w:rsidRPr="00441C39" w:rsidRDefault="00CC49DA" w:rsidP="009076FD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Настоящее Извещение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>кциона является публичной офертой для заключения договора о задатк</w:t>
      </w:r>
      <w:r w:rsidR="00E024D3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е в соответствии со статьей 437 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Гражданского кодекса Российской Федерации, а подача претендентом заявки и перечисление задатка являются ак</w:t>
      </w:r>
      <w:r w:rsidR="00E024D3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цептом такой оферты, после чего 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договор о задатке считается заключенным в письменной форме.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Для участия в аукционе Заявитель вносит задаток в размере 100% от начальной цены предмета аукциона (ежегодного размера арендной платы) единым платежом в валюте Российской Федерации на расчетный счет Оператора электронной площадки, который должен поступить на указанный счет в срок не позднее даты окончания приема заявок на участие в аукционе.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Задаток, внесенный победителем аукциона, засчитывается в счет арендной платы по договору аренды за первый год действия договора аренды.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При уклонении или отказе победителя аукциона от заключения в установленный срок договора аренды, задаток ему не возвращается.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Лицам, перечислившим задаток для участия в аукционе на право заключения договора аренды, денежные средства возвращаются в следующем порядке: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а) участникам, за исключением победителя, - в течение 3 (трех) рабочих дней со дня подведения результатов аукциона;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б) заявителям, не допущенным к участию в аукционе, - в течение 3 (трех) рабочих дней со дня подписания протокола о рассмотрении заявок.</w:t>
      </w:r>
    </w:p>
    <w:p w:rsidR="008A5A39" w:rsidRPr="00441C39" w:rsidRDefault="00E024D3" w:rsidP="008A5A39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в) заявителям, отозвавшим заявку на участие в аукционе, - в течение 3 (трех) рабочих дней со дня поступления уведомления об отзыве заявки.</w:t>
      </w:r>
    </w:p>
    <w:p w:rsidR="008A5A39" w:rsidRPr="00441C39" w:rsidRDefault="008A5A39" w:rsidP="008A5A39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8A5A39" w:rsidRPr="00441C39" w:rsidRDefault="008A5A39" w:rsidP="008A5A3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 </w:t>
      </w:r>
      <w:hyperlink r:id="rId15" w:anchor="dst689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пунктом 13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 </w:t>
      </w:r>
      <w:hyperlink r:id="rId16" w:anchor="dst690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14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или </w:t>
      </w:r>
      <w:hyperlink r:id="rId17" w:anchor="dst702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20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ст. 39.12 Земельного кодекса РФ,  в счет арендной платы за него. </w:t>
      </w:r>
    </w:p>
    <w:p w:rsidR="008A5A39" w:rsidRPr="00441C39" w:rsidRDefault="008A5A39" w:rsidP="00707C18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Задатки, внесенные этими лицами, не заключившими в установленном настоящей статьей порядке договор аренды земельного участка вследствие уклонения от заключения указанных договоров, не возвращаются.</w:t>
      </w:r>
    </w:p>
    <w:p w:rsidR="00D83D90" w:rsidRDefault="00E024D3" w:rsidP="007B3F2F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отмены проведения аукциона задатки возвращаются заявителям в течение 3 (трех) рабочих дней 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с даты размещения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об этом информационного сообщения.</w:t>
      </w:r>
    </w:p>
    <w:p w:rsidR="00441C39" w:rsidRPr="00441C39" w:rsidRDefault="00441C39" w:rsidP="007B3F2F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3D90" w:rsidRPr="00441C39" w:rsidRDefault="00707C18" w:rsidP="00E024D3">
      <w:pPr>
        <w:spacing w:after="0"/>
        <w:ind w:right="-284"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="00D83D90" w:rsidRPr="00441C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Порядок проведения аукциона и определения победителя:</w:t>
      </w:r>
    </w:p>
    <w:p w:rsidR="00EC5507" w:rsidRPr="00441C39" w:rsidRDefault="003B0E9D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</w:t>
      </w:r>
      <w:r w:rsidR="00EC5507" w:rsidRPr="00441C3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казанные в настоящем извещении.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Процедура аукциона проводится путём повышения на «шаг аукциона» начальной (минимальной) цены договора (цены лота), указанной в извещении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кциона, Претендентами, допущенными Продавцом и признанными Участниками аукциона. 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течение 10 (десяти) минут с момента начала проведения аукциона (аренда и продажа земельного участка) Участники вправе подать свои ценовые предложения, предусматривающие повышение предложения на величину равную «шагу аукциона». В случае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если в течение указанного времени: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- поступило предложение, то время для представления следующих предложений об увеличенной на «шаг аукциона» цене предмета аукциона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аукциона, следующее предложение не поступило, аукцион с помощью </w:t>
      </w:r>
      <w:proofErr w:type="spell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программноаппаратных</w:t>
      </w:r>
      <w:proofErr w:type="spell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средств электронной площадки завершается;</w:t>
      </w:r>
    </w:p>
    <w:p w:rsidR="00EC5507" w:rsidRPr="00441C39" w:rsidRDefault="00441C39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EC5507" w:rsidRPr="00441C39">
        <w:rPr>
          <w:rFonts w:ascii="Times New Roman" w:hAnsi="Times New Roman" w:cs="Times New Roman"/>
          <w:color w:val="000000"/>
          <w:sz w:val="24"/>
          <w:szCs w:val="24"/>
        </w:rPr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При подаче ценового предложения у Участника предусмотрена возможность выполнить следующие действия: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- просмотреть актуальную информацию о ходе аукциона;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- ввести новое предложение о цене предмета аукциона с соблюдением условий, указанных в извещении о проведении процедуры аукциона; 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подписать ЭП и отправить ценовое предложение.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При вводе ценового предложения АС Оператора запрашивает подтверждение вводимой информации и в случае несоответствия информации требованиям настоящего регламента и условиям, указанным в извещении о проведении процедуры аукциона (аренда и продажа земельного участка), выдаёт предупреждение и отклоняет такое ценовое предложение. При подтверждении вводимой информации АС 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Оператора информирует Участника аукциона (аренда и продажа земельного участка) о сделанном предложении с указанием того, что предложение является лучшим предложением цены предмета аукциона на данный момент либо лучшим предложением данного Участника.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Участник аукциона (аренда и продажа земельного участка) может подать предложение о цене договора при условии соблюдения следующих требований: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не вправе подавать ценовое предложение, равное предложению или меньшее,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 (аренда и продажа земельного участка);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не вправе подавать предложение о цене договора выше, чем текущее максимальное ценовое предложение, вне пределов «шага аукциона».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Каждое ценовое предложение, подаваемое в ходе процедуры, подписывается ЭП.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После подачи ценового предложения у Участника есть возможность подачи нового ценового предложения с соблюдением требований данного Регламента электронной площадки.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случае принятия предложения о цене предмета аукциона такое предложение включается в реестр предложений о цене предмета аукциона.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Протокол проведения электронного аукциона размещается АС Оператора в Открытой и Закрытой частях АС Оператора в течение 1 (одного) часа после окончания аукциона (аренда и продажа земельного участка), и должен содержать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</w:t>
      </w:r>
      <w:r w:rsidR="003F65EC" w:rsidRPr="00441C3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3F65EC" w:rsidRPr="00441C39" w:rsidRDefault="003F65EC" w:rsidP="005022FA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>Аукцион признается несостоявшимся в следующих случаях:</w:t>
      </w:r>
    </w:p>
    <w:p w:rsidR="003F65EC" w:rsidRPr="00441C39" w:rsidRDefault="003F65EC" w:rsidP="005022FA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не было подано ни одной заявки на участие либо ни один из Претендентов не признан Участником аукциона;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подана единственная заявка на участие в аукционе;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принято решение о признании только одного Претендента Участником аукциона;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 -только один Участник аукциона принял участие в аукционе (аренда и продажа земельного участка);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-не поступило ни одного предложения о цене предмета аукциона, </w:t>
      </w:r>
      <w:proofErr w:type="gramStart"/>
      <w:r w:rsidRPr="00441C39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441C39">
        <w:rPr>
          <w:rFonts w:ascii="Times New Roman" w:hAnsi="Times New Roman" w:cs="Times New Roman"/>
          <w:sz w:val="24"/>
          <w:szCs w:val="24"/>
        </w:rPr>
        <w:t xml:space="preserve"> предусматривало бы более высокую цену предмета аукциона.</w:t>
      </w:r>
    </w:p>
    <w:p w:rsidR="00EC5507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Решение о признан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>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3F65EC" w:rsidRPr="00441C39" w:rsidRDefault="00FE318D" w:rsidP="003F65EC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Ход проведения процедуры аукциона фиксируется Операторов электронной площадки в электронном журнале, который размещается на электронной площадке www.roseltorg.ru в течение 1 (одного) часа с момента окончания аукциона.</w:t>
      </w:r>
    </w:p>
    <w:p w:rsidR="0097475E" w:rsidRPr="00441C39" w:rsidRDefault="0097475E" w:rsidP="0097475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D83D90" w:rsidRPr="00441C39" w:rsidRDefault="00D83D90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D83D90" w:rsidRPr="00441C39" w:rsidRDefault="00D83D90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По результатам торгов с победителем аукциона либо лицом, признанным единственным участником аукциона, заключается договор аренды.</w:t>
      </w:r>
    </w:p>
    <w:p w:rsidR="00441C39" w:rsidRPr="00441C39" w:rsidRDefault="00D83D90" w:rsidP="00E06D3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случае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если заявку на участие в аукционе подало только одно лицо, признанное единственным участником аукциона, договор аренды заключается с таким лицом по н</w:t>
      </w:r>
      <w:r w:rsidR="00E06D33">
        <w:rPr>
          <w:rFonts w:ascii="Times New Roman" w:hAnsi="Times New Roman" w:cs="Times New Roman"/>
          <w:color w:val="000000"/>
          <w:sz w:val="24"/>
          <w:szCs w:val="24"/>
        </w:rPr>
        <w:t>ачальной цене предмета аукциона.</w:t>
      </w:r>
    </w:p>
    <w:p w:rsidR="007C15B3" w:rsidRDefault="004E606E" w:rsidP="0004085C">
      <w:pPr>
        <w:spacing w:after="0"/>
        <w:ind w:right="-284" w:firstLine="708"/>
        <w:jc w:val="both"/>
        <w:rPr>
          <w:rFonts w:ascii="Liberation Sans-Bold" w:hAnsi="Liberation Sans-Bold"/>
          <w:b/>
          <w:bCs/>
          <w:color w:val="000000"/>
        </w:rPr>
      </w:pPr>
      <w:r>
        <w:rPr>
          <w:rFonts w:ascii="Liberation Sans-Bold" w:hAnsi="Liberation Sans-Bold"/>
          <w:b/>
          <w:bCs/>
          <w:color w:val="000000"/>
        </w:rPr>
        <w:t>10</w:t>
      </w:r>
      <w:r w:rsidR="00D83D90">
        <w:rPr>
          <w:rFonts w:ascii="Liberation Sans-Bold" w:hAnsi="Liberation Sans-Bold"/>
          <w:b/>
          <w:bCs/>
          <w:color w:val="000000"/>
        </w:rPr>
        <w:t xml:space="preserve">. Срок заключения договора </w:t>
      </w:r>
      <w:r w:rsidR="0018082F">
        <w:rPr>
          <w:rFonts w:ascii="Liberation Sans-Bold" w:hAnsi="Liberation Sans-Bold"/>
          <w:b/>
          <w:bCs/>
          <w:color w:val="000000"/>
        </w:rPr>
        <w:t xml:space="preserve">аренды </w:t>
      </w:r>
      <w:r w:rsidR="00D83D90">
        <w:rPr>
          <w:rFonts w:ascii="Liberation Sans-Bold" w:hAnsi="Liberation Sans-Bold"/>
          <w:b/>
          <w:bCs/>
          <w:color w:val="000000"/>
        </w:rPr>
        <w:t>имущества:</w:t>
      </w:r>
    </w:p>
    <w:p w:rsidR="00D83D90" w:rsidRDefault="0097475E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проведения электронного аукциона не допускается </w:t>
      </w:r>
      <w:r w:rsidR="0004085C">
        <w:rPr>
          <w:rFonts w:ascii="Times New Roman" w:hAnsi="Times New Roman" w:cs="Times New Roman"/>
          <w:color w:val="000000"/>
          <w:sz w:val="24"/>
          <w:szCs w:val="24"/>
        </w:rPr>
        <w:t>договора аренды земельного участка</w:t>
      </w: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 ранее</w:t>
      </w:r>
      <w:r w:rsidR="0098613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04085C" w:rsidRDefault="00986139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6139">
        <w:rPr>
          <w:rFonts w:ascii="Times New Roman" w:hAnsi="Times New Roman" w:cs="Times New Roman"/>
          <w:color w:val="000000"/>
          <w:sz w:val="24"/>
          <w:szCs w:val="24"/>
        </w:rPr>
        <w:t>Уполномоченный орган обязан в течение пяти дней со дня истечения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вышеуказанного срока</w:t>
      </w:r>
      <w:r w:rsidRPr="00986139">
        <w:rPr>
          <w:rFonts w:ascii="Times New Roman" w:hAnsi="Times New Roman" w:cs="Times New Roman"/>
          <w:color w:val="000000"/>
          <w:sz w:val="24"/>
          <w:szCs w:val="24"/>
        </w:rPr>
        <w:t xml:space="preserve"> направить победителю электронного аукциона или иным лицам, с которыми в соответствии с пунктами 13, 14, 20 и 25 статьи 39.12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Земельного кодекса </w:t>
      </w:r>
      <w:r w:rsidRPr="00986139">
        <w:rPr>
          <w:rFonts w:ascii="Times New Roman" w:hAnsi="Times New Roman" w:cs="Times New Roman"/>
          <w:color w:val="000000"/>
          <w:sz w:val="24"/>
          <w:szCs w:val="24"/>
        </w:rPr>
        <w:t>заключается договор аренды такого участка, подписанный проект  договора аренды такого участка.</w:t>
      </w:r>
    </w:p>
    <w:p w:rsidR="00820CE5" w:rsidRPr="00820CE5" w:rsidRDefault="00820CE5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0CE5">
        <w:rPr>
          <w:rFonts w:ascii="Times New Roman" w:hAnsi="Times New Roman" w:cs="Times New Roman"/>
          <w:color w:val="000000"/>
          <w:sz w:val="24"/>
          <w:szCs w:val="24"/>
        </w:rPr>
        <w:t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</w:t>
      </w:r>
      <w:r>
        <w:rPr>
          <w:rFonts w:ascii="Times New Roman" w:hAnsi="Times New Roman" w:cs="Times New Roman"/>
          <w:color w:val="000000"/>
          <w:sz w:val="24"/>
          <w:szCs w:val="24"/>
        </w:rPr>
        <w:t>е, предложенной победителем аук</w:t>
      </w:r>
      <w:r w:rsidRPr="00820CE5">
        <w:rPr>
          <w:rFonts w:ascii="Times New Roman" w:hAnsi="Times New Roman" w:cs="Times New Roman"/>
          <w:color w:val="000000"/>
          <w:sz w:val="24"/>
          <w:szCs w:val="24"/>
        </w:rPr>
        <w:t>циона.</w:t>
      </w:r>
    </w:p>
    <w:p w:rsidR="00441C39" w:rsidRDefault="00820CE5" w:rsidP="002050DF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0CE5">
        <w:rPr>
          <w:rFonts w:ascii="Times New Roman" w:hAnsi="Times New Roman" w:cs="Times New Roman"/>
          <w:color w:val="000000"/>
          <w:sz w:val="24"/>
          <w:szCs w:val="24"/>
        </w:rPr>
        <w:t xml:space="preserve"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 аренды земельного участка этот участник не представил в уполномоченный </w:t>
      </w:r>
      <w:proofErr w:type="gramStart"/>
      <w:r w:rsidRPr="00820CE5">
        <w:rPr>
          <w:rFonts w:ascii="Times New Roman" w:hAnsi="Times New Roman" w:cs="Times New Roman"/>
          <w:color w:val="000000"/>
          <w:sz w:val="24"/>
          <w:szCs w:val="24"/>
        </w:rPr>
        <w:t>орган</w:t>
      </w:r>
      <w:proofErr w:type="gramEnd"/>
      <w:r w:rsidRPr="00820CE5">
        <w:rPr>
          <w:rFonts w:ascii="Times New Roman" w:hAnsi="Times New Roman" w:cs="Times New Roman"/>
          <w:color w:val="000000"/>
          <w:sz w:val="24"/>
          <w:szCs w:val="24"/>
        </w:rPr>
        <w:t xml:space="preserve">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настоящим Земельного Кодекса РФ.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11.</w:t>
      </w:r>
      <w:r w:rsidRPr="004E606E">
        <w:rPr>
          <w:rFonts w:ascii="Times New Roman" w:hAnsi="Times New Roman" w:cs="Times New Roman"/>
          <w:b/>
          <w:color w:val="000000"/>
          <w:sz w:val="24"/>
          <w:szCs w:val="24"/>
        </w:rPr>
        <w:t>Заключительные положения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Проект договора аренды, форма заявки на участие в аукционе размещены на официальном сайте Российской Федерации для размещения информации о проведении торгов по адресу www.torgi.gov.ru.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С информацией о предоставляемом в аренду земельном участке (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документами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содержащими характер</w:t>
      </w:r>
      <w:r>
        <w:rPr>
          <w:rFonts w:ascii="Times New Roman" w:hAnsi="Times New Roman" w:cs="Times New Roman"/>
          <w:color w:val="000000"/>
          <w:sz w:val="24"/>
          <w:szCs w:val="24"/>
        </w:rPr>
        <w:t>истики позволяющие идентифициро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вать земельный участок, формой заявки, градостроительными планами, в том числе правоустанавливаю</w:t>
      </w:r>
      <w:r>
        <w:rPr>
          <w:rFonts w:ascii="Times New Roman" w:hAnsi="Times New Roman" w:cs="Times New Roman"/>
          <w:color w:val="000000"/>
          <w:sz w:val="24"/>
          <w:szCs w:val="24"/>
        </w:rPr>
        <w:t>щей документацией, условиями до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говора аренды можно ознакомится в период приема заявок, направив запрос на электронный адрес  kumizoinza@mail.ru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Ответ на запрос направляется в течени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2 (двух) рабочих дней (со дня поступления запроса) на электронный адрес Претендента  с указанием места, даты и времени выдачи документов для ознакомления с информацией об объекте.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Любое заинтересованное лицо с даты размещения информационного сообщения о проведен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>кциона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вправе ос</w:t>
      </w:r>
      <w:r>
        <w:rPr>
          <w:rFonts w:ascii="Times New Roman" w:hAnsi="Times New Roman" w:cs="Times New Roman"/>
          <w:color w:val="000000"/>
          <w:sz w:val="24"/>
          <w:szCs w:val="24"/>
        </w:rPr>
        <w:t>мотреть земельный участо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к.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Запрос (в произвольной форме) на осмотр земельного участка может быть направлен  не 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позднее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чем за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два рабочих дня до даты оконча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ния срока подачи заявок на участие в аукционе следующими способами: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на электронный адрес kumizoinza@mail.ru 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почтовым отправлением  по адресу:433030, Ульяновская область, г. Инза, ул. Революции д. 56, </w:t>
      </w:r>
      <w:proofErr w:type="spell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каб</w:t>
      </w:r>
      <w:proofErr w:type="spellEnd"/>
      <w:r w:rsidRPr="004E606E">
        <w:rPr>
          <w:rFonts w:ascii="Times New Roman" w:hAnsi="Times New Roman" w:cs="Times New Roman"/>
          <w:color w:val="000000"/>
          <w:sz w:val="24"/>
          <w:szCs w:val="24"/>
        </w:rPr>
        <w:t>. 3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лично по адресу: 433030, Ульяновская область, г. Инза, ул. Революции д. 56, </w:t>
      </w:r>
      <w:proofErr w:type="spell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каб</w:t>
      </w:r>
      <w:proofErr w:type="spellEnd"/>
      <w:r w:rsidRPr="004E606E">
        <w:rPr>
          <w:rFonts w:ascii="Times New Roman" w:hAnsi="Times New Roman" w:cs="Times New Roman"/>
          <w:color w:val="000000"/>
          <w:sz w:val="24"/>
          <w:szCs w:val="24"/>
        </w:rPr>
        <w:t>. 3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Все вопросы, касающиеся проведения аукциона, не нашедшие отражения в настоящем информационном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сообщении, регулируются законо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дательством Российской Федерации. </w:t>
      </w:r>
    </w:p>
    <w:p w:rsidR="005E6305" w:rsidRPr="005E6305" w:rsidRDefault="005E6305" w:rsidP="005E6305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12.Информация о размере взимаемой с победителя электронного аукциона или иных лиц, с которыми в соответствии с </w:t>
      </w:r>
      <w:hyperlink r:id="rId18" w:anchor="dst689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пунктами 13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9" w:anchor="dst690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14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20" w:anchor="dst702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20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 и </w:t>
      </w:r>
      <w:hyperlink r:id="rId21" w:anchor="dst101232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25 статьи 39.12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ЗК РФ </w:t>
      </w:r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заключается договор аренды (купли-продажи) земельного участка, платы оператору электронной площадки за участие в электронном аукционе:</w:t>
      </w:r>
    </w:p>
    <w:p w:rsidR="005E6305" w:rsidRPr="005E6305" w:rsidRDefault="005E6305" w:rsidP="005E6305">
      <w:pPr>
        <w:spacing w:after="0" w:line="240" w:lineRule="auto"/>
        <w:ind w:right="-284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E630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Плата оператору электронной площадки за участие в электронном аукционе – рассчитывается автоматически оператором электронной площадки на основании  постановления Правительства Российской Федерации от 10 мая 2018 года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5E6305" w:rsidRPr="005E6305" w:rsidRDefault="005E6305" w:rsidP="005E6305">
      <w:pPr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05">
        <w:rPr>
          <w:rFonts w:ascii="Times New Roman" w:hAnsi="Times New Roman" w:cs="Times New Roman"/>
          <w:sz w:val="24"/>
          <w:szCs w:val="24"/>
        </w:rPr>
        <w:t xml:space="preserve">Плата за участие в аукционе взимается с победителя электронного аукциона или лиц, с которыми в соответствии с пунктами 13,14,20,25 статьи 39.12 земельного кодекса Российской Федерации заключается договор аренды (купли-продажи) земельного участка взымается в размере: </w:t>
      </w:r>
    </w:p>
    <w:p w:rsidR="005E6305" w:rsidRPr="005E6305" w:rsidRDefault="005E6305" w:rsidP="005E6305">
      <w:pPr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05">
        <w:rPr>
          <w:rFonts w:ascii="Times New Roman" w:hAnsi="Times New Roman" w:cs="Times New Roman"/>
          <w:sz w:val="24"/>
          <w:szCs w:val="24"/>
        </w:rPr>
        <w:t xml:space="preserve">Аукцион (аренда и продажа земельного участка) - 1 % от начальной цены договора, но не более чем 5 000,00 рублей, без учёта НДС. </w:t>
      </w:r>
      <w:proofErr w:type="gramStart"/>
      <w:r w:rsidRPr="005E6305">
        <w:rPr>
          <w:rFonts w:ascii="Times New Roman" w:hAnsi="Times New Roman" w:cs="Times New Roman"/>
          <w:sz w:val="24"/>
          <w:szCs w:val="24"/>
        </w:rPr>
        <w:t xml:space="preserve">Плата взимается с Участника аукциона (аренда и продажа земельного участка) — победителя и облагается НДС в размере 20 %, за исключением случая проведения такого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</w:t>
      </w:r>
      <w:r w:rsidRPr="005E6305">
        <w:rPr>
          <w:rFonts w:ascii="Times New Roman" w:hAnsi="Times New Roman" w:cs="Times New Roman"/>
          <w:sz w:val="24"/>
          <w:szCs w:val="24"/>
        </w:rPr>
        <w:lastRenderedPageBreak/>
        <w:t>24.07.2007 № 209-ФЗ «О развитии малого и среднего предпринимательства в Российской Федерации» а также</w:t>
      </w:r>
      <w:proofErr w:type="gramEnd"/>
      <w:r w:rsidRPr="005E6305">
        <w:rPr>
          <w:rFonts w:ascii="Times New Roman" w:hAnsi="Times New Roman" w:cs="Times New Roman"/>
          <w:sz w:val="24"/>
          <w:szCs w:val="24"/>
        </w:rPr>
        <w:t xml:space="preserve"> в случае</w:t>
      </w:r>
      <w:proofErr w:type="gramStart"/>
      <w:r w:rsidRPr="005E630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E6305">
        <w:rPr>
          <w:rFonts w:ascii="Times New Roman" w:hAnsi="Times New Roman" w:cs="Times New Roman"/>
          <w:sz w:val="24"/>
          <w:szCs w:val="24"/>
        </w:rPr>
        <w:t xml:space="preserve"> если лицом, с которым заключается договор по результатам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</w:p>
    <w:p w:rsidR="005E6305" w:rsidRPr="005E6305" w:rsidRDefault="005E6305" w:rsidP="005E6305">
      <w:pPr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05">
        <w:rPr>
          <w:rFonts w:ascii="Times New Roman" w:hAnsi="Times New Roman" w:cs="Times New Roman"/>
          <w:sz w:val="24"/>
          <w:szCs w:val="24"/>
        </w:rPr>
        <w:t xml:space="preserve">Информация о тарифах электронной площадки за проведение процедур размещена: </w:t>
      </w:r>
      <w:hyperlink r:id="rId22" w:history="1">
        <w:r w:rsidRPr="005E630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https://www.roseltorg.ru/rates/corp-sale</w:t>
        </w:r>
      </w:hyperlink>
    </w:p>
    <w:p w:rsidR="004E606E" w:rsidRPr="002938A5" w:rsidRDefault="004E606E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4E606E" w:rsidRPr="002938A5" w:rsidSect="00793D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03D" w:rsidRDefault="009D403D" w:rsidP="008B3952">
      <w:pPr>
        <w:spacing w:after="0" w:line="240" w:lineRule="auto"/>
      </w:pPr>
      <w:r>
        <w:separator/>
      </w:r>
    </w:p>
  </w:endnote>
  <w:endnote w:type="continuationSeparator" w:id="0">
    <w:p w:rsidR="009D403D" w:rsidRDefault="009D403D" w:rsidP="008B3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-Bold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03D" w:rsidRDefault="009D403D" w:rsidP="008B3952">
      <w:pPr>
        <w:spacing w:after="0" w:line="240" w:lineRule="auto"/>
      </w:pPr>
      <w:r>
        <w:separator/>
      </w:r>
    </w:p>
  </w:footnote>
  <w:footnote w:type="continuationSeparator" w:id="0">
    <w:p w:rsidR="009D403D" w:rsidRDefault="009D403D" w:rsidP="008B3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416253C"/>
    <w:multiLevelType w:val="multilevel"/>
    <w:tmpl w:val="5180F7BA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  <w:b/>
        <w:color w:val="000000"/>
      </w:rPr>
    </w:lvl>
    <w:lvl w:ilvl="1">
      <w:start w:val="9"/>
      <w:numFmt w:val="decimal"/>
      <w:lvlText w:val="%1.%2."/>
      <w:lvlJc w:val="left"/>
      <w:pPr>
        <w:ind w:left="1068" w:hanging="360"/>
      </w:pPr>
      <w:rPr>
        <w:rFonts w:eastAsia="Arial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Arial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Arial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Arial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Arial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Arial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Arial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Arial" w:hint="default"/>
        <w:b/>
        <w:color w:val="000000"/>
      </w:rPr>
    </w:lvl>
  </w:abstractNum>
  <w:abstractNum w:abstractNumId="2">
    <w:nsid w:val="2AED735A"/>
    <w:multiLevelType w:val="multilevel"/>
    <w:tmpl w:val="08B206D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AE"/>
    <w:rsid w:val="0004085C"/>
    <w:rsid w:val="00042413"/>
    <w:rsid w:val="00051C34"/>
    <w:rsid w:val="00077C25"/>
    <w:rsid w:val="000815D9"/>
    <w:rsid w:val="0008361C"/>
    <w:rsid w:val="000D27D1"/>
    <w:rsid w:val="000D6D3D"/>
    <w:rsid w:val="00124A15"/>
    <w:rsid w:val="00135A7C"/>
    <w:rsid w:val="00147796"/>
    <w:rsid w:val="00166DEF"/>
    <w:rsid w:val="00174565"/>
    <w:rsid w:val="0018082F"/>
    <w:rsid w:val="001C7F30"/>
    <w:rsid w:val="001F3BAC"/>
    <w:rsid w:val="002050DF"/>
    <w:rsid w:val="0020735B"/>
    <w:rsid w:val="00226535"/>
    <w:rsid w:val="002321E4"/>
    <w:rsid w:val="0023678C"/>
    <w:rsid w:val="00265F3D"/>
    <w:rsid w:val="00283D65"/>
    <w:rsid w:val="002938A5"/>
    <w:rsid w:val="00323415"/>
    <w:rsid w:val="0033219D"/>
    <w:rsid w:val="00337D0A"/>
    <w:rsid w:val="00390470"/>
    <w:rsid w:val="003B0E9D"/>
    <w:rsid w:val="003B7AA9"/>
    <w:rsid w:val="003E2772"/>
    <w:rsid w:val="003E298C"/>
    <w:rsid w:val="003F65EC"/>
    <w:rsid w:val="00403738"/>
    <w:rsid w:val="00426953"/>
    <w:rsid w:val="00427E8C"/>
    <w:rsid w:val="00441C39"/>
    <w:rsid w:val="004852DF"/>
    <w:rsid w:val="004C133A"/>
    <w:rsid w:val="004E606E"/>
    <w:rsid w:val="004E7008"/>
    <w:rsid w:val="005022FA"/>
    <w:rsid w:val="00505898"/>
    <w:rsid w:val="0051775F"/>
    <w:rsid w:val="005177FB"/>
    <w:rsid w:val="00522078"/>
    <w:rsid w:val="0055355B"/>
    <w:rsid w:val="005667A4"/>
    <w:rsid w:val="005712BE"/>
    <w:rsid w:val="00584AB1"/>
    <w:rsid w:val="005D06A1"/>
    <w:rsid w:val="005E6305"/>
    <w:rsid w:val="005E73D0"/>
    <w:rsid w:val="00612FC2"/>
    <w:rsid w:val="00651ECE"/>
    <w:rsid w:val="006923AE"/>
    <w:rsid w:val="006C0639"/>
    <w:rsid w:val="00703FEC"/>
    <w:rsid w:val="00707C18"/>
    <w:rsid w:val="007105FB"/>
    <w:rsid w:val="00756337"/>
    <w:rsid w:val="00763755"/>
    <w:rsid w:val="00780C58"/>
    <w:rsid w:val="007811D6"/>
    <w:rsid w:val="00793DE1"/>
    <w:rsid w:val="007A3D6E"/>
    <w:rsid w:val="007B3F2F"/>
    <w:rsid w:val="007C15B3"/>
    <w:rsid w:val="007C35C7"/>
    <w:rsid w:val="007C480F"/>
    <w:rsid w:val="007D2139"/>
    <w:rsid w:val="007F4140"/>
    <w:rsid w:val="007F5DAE"/>
    <w:rsid w:val="007F6E97"/>
    <w:rsid w:val="0080225B"/>
    <w:rsid w:val="008110B0"/>
    <w:rsid w:val="00820CE5"/>
    <w:rsid w:val="00843F1C"/>
    <w:rsid w:val="0085556B"/>
    <w:rsid w:val="008A5A39"/>
    <w:rsid w:val="008A7825"/>
    <w:rsid w:val="008B3952"/>
    <w:rsid w:val="009076FD"/>
    <w:rsid w:val="009116C7"/>
    <w:rsid w:val="00920844"/>
    <w:rsid w:val="0097475E"/>
    <w:rsid w:val="009776B2"/>
    <w:rsid w:val="00986139"/>
    <w:rsid w:val="00993CD2"/>
    <w:rsid w:val="009C271C"/>
    <w:rsid w:val="009D403D"/>
    <w:rsid w:val="009F7F03"/>
    <w:rsid w:val="00A01389"/>
    <w:rsid w:val="00A02D2F"/>
    <w:rsid w:val="00A0615D"/>
    <w:rsid w:val="00A17470"/>
    <w:rsid w:val="00A30306"/>
    <w:rsid w:val="00A4756E"/>
    <w:rsid w:val="00A9069D"/>
    <w:rsid w:val="00AA20FF"/>
    <w:rsid w:val="00AA3A39"/>
    <w:rsid w:val="00AB4BA0"/>
    <w:rsid w:val="00AC1AAF"/>
    <w:rsid w:val="00AE77E3"/>
    <w:rsid w:val="00B559D2"/>
    <w:rsid w:val="00B742F7"/>
    <w:rsid w:val="00B74410"/>
    <w:rsid w:val="00B909A9"/>
    <w:rsid w:val="00BB678A"/>
    <w:rsid w:val="00BE258C"/>
    <w:rsid w:val="00C109CC"/>
    <w:rsid w:val="00C268C3"/>
    <w:rsid w:val="00C42653"/>
    <w:rsid w:val="00C55622"/>
    <w:rsid w:val="00C57F88"/>
    <w:rsid w:val="00C70D53"/>
    <w:rsid w:val="00C72501"/>
    <w:rsid w:val="00C74CB5"/>
    <w:rsid w:val="00C8221E"/>
    <w:rsid w:val="00CC19E3"/>
    <w:rsid w:val="00CC49DA"/>
    <w:rsid w:val="00CF1E3A"/>
    <w:rsid w:val="00D10A50"/>
    <w:rsid w:val="00D13518"/>
    <w:rsid w:val="00D35E8B"/>
    <w:rsid w:val="00D83D90"/>
    <w:rsid w:val="00D95B9A"/>
    <w:rsid w:val="00D969C3"/>
    <w:rsid w:val="00DB269C"/>
    <w:rsid w:val="00DD0C2D"/>
    <w:rsid w:val="00DD0FF1"/>
    <w:rsid w:val="00DE7937"/>
    <w:rsid w:val="00E024D3"/>
    <w:rsid w:val="00E067FC"/>
    <w:rsid w:val="00E06D33"/>
    <w:rsid w:val="00E22D7D"/>
    <w:rsid w:val="00E24602"/>
    <w:rsid w:val="00E36546"/>
    <w:rsid w:val="00E52EE8"/>
    <w:rsid w:val="00E96DC1"/>
    <w:rsid w:val="00EA67E6"/>
    <w:rsid w:val="00EB7CA9"/>
    <w:rsid w:val="00EC5507"/>
    <w:rsid w:val="00EC6746"/>
    <w:rsid w:val="00ED6C54"/>
    <w:rsid w:val="00F34694"/>
    <w:rsid w:val="00F472E2"/>
    <w:rsid w:val="00F518C5"/>
    <w:rsid w:val="00FE318D"/>
    <w:rsid w:val="00FE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A1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A1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roseltorg.ru" TargetMode="External"/><Relationship Id="rId18" Type="http://schemas.openxmlformats.org/officeDocument/2006/relationships/hyperlink" Target="https://www.consultant.ru/document/cons_doc_LAW_425595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onsultant.ru/document/cons_doc_LAW_425595/3446ddfcafad7edd45fa9e4766584f3a09c11d98/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0F5BAF3D9244554A7B175EDF660BBE21E6A7ED98F876B004CFAC9577590D932F9F89FBC070047F5DA18D62CF8BDABCE336038388ED15694U2T0G" TargetMode="External"/><Relationship Id="rId17" Type="http://schemas.openxmlformats.org/officeDocument/2006/relationships/hyperlink" Target="http://www.consultant.ru/document/cons_doc_LAW_406132/3446ddfcafad7edd45fa9e4766584f3a09c11d9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406132/3446ddfcafad7edd45fa9e4766584f3a09c11d98/" TargetMode="External"/><Relationship Id="rId20" Type="http://schemas.openxmlformats.org/officeDocument/2006/relationships/hyperlink" Target="https://www.consultant.ru/document/cons_doc_LAW_425595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oseltorg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406132/3446ddfcafad7edd45fa9e4766584f3a09c11d98/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kumizoinza@mail.ru" TargetMode="External"/><Relationship Id="rId19" Type="http://schemas.openxmlformats.org/officeDocument/2006/relationships/hyperlink" Target="https://www.consultant.ru/document/cons_doc_LAW_425595/3446ddfcafad7edd45fa9e4766584f3a09c11d9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zenskij-r73.gosweb.gosuslugi.ru" TargetMode="External"/><Relationship Id="rId14" Type="http://schemas.openxmlformats.org/officeDocument/2006/relationships/hyperlink" Target="https://www.roseltorg.ru/_flysystem/webdav/2023/03/01/reglam_178_28022023.pdf" TargetMode="External"/><Relationship Id="rId22" Type="http://schemas.openxmlformats.org/officeDocument/2006/relationships/hyperlink" Target="https://www.roseltorg.ru/rates/corp-sa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20A13-6B80-48AB-AF76-37695A551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14</Pages>
  <Words>5357</Words>
  <Characters>30538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125</cp:revision>
  <cp:lastPrinted>2024-05-16T05:28:00Z</cp:lastPrinted>
  <dcterms:created xsi:type="dcterms:W3CDTF">2023-03-17T04:21:00Z</dcterms:created>
  <dcterms:modified xsi:type="dcterms:W3CDTF">2025-02-17T06:54:00Z</dcterms:modified>
</cp:coreProperties>
</file>