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174565" w:rsidRDefault="00147796" w:rsidP="007F5DAE">
      <w:pPr>
        <w:pStyle w:val="2"/>
        <w:jc w:val="center"/>
      </w:pPr>
      <w:r>
        <w:t xml:space="preserve">Информационное извещение </w:t>
      </w:r>
    </w:p>
    <w:p w:rsidR="00AA20FF" w:rsidRDefault="00AA20FF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4565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17456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74565">
        <w:rPr>
          <w:rFonts w:ascii="Times New Roman" w:hAnsi="Times New Roman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174565" w:rsidRDefault="005712BE" w:rsidP="005712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361C" w:rsidRDefault="009C271C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41C39">
        <w:rPr>
          <w:rFonts w:ascii="Times New Roman" w:hAnsi="Times New Roman" w:cs="Times New Roman"/>
          <w:b/>
          <w:sz w:val="24"/>
          <w:szCs w:val="24"/>
        </w:rPr>
        <w:t>1.Организатор аукциона (арендодатель):</w:t>
      </w:r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74410" w:rsidRPr="00441C39">
          <w:rPr>
            <w:rStyle w:val="a4"/>
            <w:rFonts w:ascii="Times New Roman" w:hAnsi="Times New Roman" w:cs="Times New Roman"/>
            <w:sz w:val="24"/>
            <w:szCs w:val="24"/>
          </w:rPr>
          <w:t>https://inzenskij-r73.gosweb.gosuslugi.ru</w:t>
        </w:r>
      </w:hyperlink>
      <w:r w:rsidR="00B74410" w:rsidRPr="00441C39">
        <w:rPr>
          <w:rFonts w:ascii="Times New Roman" w:hAnsi="Times New Roman" w:cs="Times New Roman"/>
          <w:sz w:val="24"/>
          <w:szCs w:val="24"/>
        </w:rPr>
        <w:t xml:space="preserve"> </w:t>
      </w:r>
      <w:r w:rsidRPr="00441C39">
        <w:rPr>
          <w:rFonts w:ascii="Times New Roman" w:hAnsi="Times New Roman" w:cs="Times New Roman"/>
          <w:sz w:val="24"/>
          <w:szCs w:val="24"/>
        </w:rPr>
        <w:t>Муниципальное учреждение Администрация муниципального образования «</w:t>
      </w:r>
      <w:proofErr w:type="spellStart"/>
      <w:r w:rsidRPr="00441C39">
        <w:rPr>
          <w:rFonts w:ascii="Times New Roman" w:hAnsi="Times New Roman" w:cs="Times New Roman"/>
          <w:sz w:val="24"/>
          <w:szCs w:val="24"/>
        </w:rPr>
        <w:t>Инзенский</w:t>
      </w:r>
      <w:proofErr w:type="spellEnd"/>
      <w:r w:rsidRPr="00441C39">
        <w:rPr>
          <w:rFonts w:ascii="Times New Roman" w:hAnsi="Times New Roman" w:cs="Times New Roman"/>
          <w:sz w:val="24"/>
          <w:szCs w:val="24"/>
        </w:rPr>
        <w:t xml:space="preserve"> район» (433030, г. Инза, ул. Заводская, д. 2,  </w:t>
      </w:r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1C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 Номер контактного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441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361C" w:rsidRPr="00441C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 работы с 8.00 до 17.00 ежедневно (кроме субботы, воскресенья и праздничные дни),  перерыв с 12.00 до 13.00</w:t>
      </w:r>
      <w:r w:rsidR="00B74410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361C" w:rsidRPr="00441C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441C39" w:rsidRPr="00441C39" w:rsidRDefault="00441C39" w:rsidP="00124A15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24A15" w:rsidRPr="00441C39" w:rsidRDefault="00DD0FF1" w:rsidP="00124A1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24A15" w:rsidRPr="00441C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https://www.roseltorg.r</w:t>
        </w:r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val="en-US" w:eastAsia="ar-SA"/>
          </w:rPr>
          <w:t>u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441C39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перечень</w:t>
        </w:r>
      </w:hyperlink>
      <w:r w:rsidR="00124A15"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441C39" w:rsidRDefault="00124A15" w:rsidP="00124A15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>Кожевническая</w:t>
      </w:r>
      <w:proofErr w:type="spellEnd"/>
      <w:r w:rsidRPr="00441C3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441C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35A7C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24A15" w:rsidRDefault="00124A15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C3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441C3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441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41C39" w:rsidRPr="00441C39" w:rsidRDefault="00441C39" w:rsidP="00265F3D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24A15" w:rsidRDefault="00124A15" w:rsidP="00174565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565">
        <w:rPr>
          <w:rFonts w:ascii="Times New Roman" w:hAnsi="Times New Roman" w:cs="Times New Roman"/>
          <w:sz w:val="24"/>
          <w:szCs w:val="24"/>
        </w:rPr>
        <w:tab/>
      </w:r>
      <w:r w:rsidRPr="00441C39">
        <w:rPr>
          <w:rFonts w:ascii="Times New Roman" w:hAnsi="Times New Roman" w:cs="Times New Roman"/>
          <w:b/>
          <w:sz w:val="24"/>
          <w:szCs w:val="24"/>
        </w:rPr>
        <w:t>3.</w:t>
      </w:r>
      <w:r w:rsidRPr="00441C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</w:t>
      </w:r>
      <w:r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район», Постановление Администрации МО «</w:t>
      </w:r>
      <w:proofErr w:type="spellStart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Инзенский</w:t>
      </w:r>
      <w:proofErr w:type="spellEnd"/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  <w:r w:rsidR="005238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Постановление от 13.02.2025 №93</w:t>
      </w:r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кциона в электронной форме (электронного аукциона) на право заключения договора аренды земельного участка».</w:t>
      </w:r>
      <w:r w:rsidRPr="0017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565" w:rsidRPr="00174565" w:rsidRDefault="00174565" w:rsidP="00C55622">
      <w:pPr>
        <w:ind w:right="-28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9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74565">
        <w:rPr>
          <w:rFonts w:ascii="Times New Roman" w:hAnsi="Times New Roman" w:cs="Times New Roman"/>
          <w:b/>
          <w:bCs/>
          <w:sz w:val="24"/>
          <w:szCs w:val="24"/>
        </w:rPr>
        <w:t xml:space="preserve"> Способ предоставления в аренду</w:t>
      </w:r>
      <w:r w:rsidRPr="00174565">
        <w:rPr>
          <w:rFonts w:ascii="Times New Roman" w:hAnsi="Times New Roman" w:cs="Times New Roman"/>
          <w:bCs/>
          <w:sz w:val="24"/>
          <w:szCs w:val="24"/>
        </w:rPr>
        <w:t>: аукцион в электронной форме (электронный аукцион)</w:t>
      </w:r>
      <w:r w:rsidR="00C55622">
        <w:rPr>
          <w:rFonts w:ascii="Times New Roman" w:hAnsi="Times New Roman" w:cs="Times New Roman"/>
          <w:sz w:val="24"/>
          <w:szCs w:val="24"/>
        </w:rPr>
        <w:t>.</w:t>
      </w:r>
    </w:p>
    <w:p w:rsidR="00174565" w:rsidRPr="00174565" w:rsidRDefault="00C55622" w:rsidP="00174565">
      <w:pPr>
        <w:ind w:right="-284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74565" w:rsidRPr="001745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52387E" w:rsidRPr="0052387E" w:rsidTr="00504D69">
        <w:tc>
          <w:tcPr>
            <w:tcW w:w="813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52387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52387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8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Основные характеристики земельного участка</w:t>
            </w:r>
          </w:p>
        </w:tc>
        <w:tc>
          <w:tcPr>
            <w:tcW w:w="2410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Адрес (местоположение)</w:t>
            </w:r>
          </w:p>
        </w:tc>
        <w:tc>
          <w:tcPr>
            <w:tcW w:w="2409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Начальная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цена предмета аукциона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color w:val="FF0000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lastRenderedPageBreak/>
              <w:t>(ежегодный размер арендной платы), в руб. без учета НДС</w:t>
            </w:r>
          </w:p>
        </w:tc>
        <w:tc>
          <w:tcPr>
            <w:tcW w:w="1701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lastRenderedPageBreak/>
              <w:t>Шаг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аукциона, в руб.</w:t>
            </w:r>
          </w:p>
        </w:tc>
        <w:tc>
          <w:tcPr>
            <w:tcW w:w="1560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Размер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задатка, в руб.</w:t>
            </w:r>
          </w:p>
        </w:tc>
        <w:tc>
          <w:tcPr>
            <w:tcW w:w="1842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Срок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аренды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земельного</w:t>
            </w:r>
          </w:p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lastRenderedPageBreak/>
              <w:t>участка</w:t>
            </w:r>
          </w:p>
        </w:tc>
      </w:tr>
      <w:tr w:rsidR="0052387E" w:rsidRPr="0052387E" w:rsidTr="00504D69">
        <w:tc>
          <w:tcPr>
            <w:tcW w:w="813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</w:tcPr>
          <w:p w:rsidR="0052387E" w:rsidRPr="0052387E" w:rsidRDefault="0052387E" w:rsidP="00504D6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 xml:space="preserve">Земельный участок, с кадастровым номером 73:04:020403:248, категории земель: земли населенных пунктов, вид разрешенного использования: индивидуальные жилые дома, общая площадь:  5000  </w:t>
            </w:r>
            <w:proofErr w:type="spellStart"/>
            <w:r w:rsidRPr="0052387E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52387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 xml:space="preserve">Российская Федерация, Ульяновская область, </w:t>
            </w:r>
            <w:proofErr w:type="spellStart"/>
            <w:r w:rsidRPr="0052387E">
              <w:rPr>
                <w:rFonts w:ascii="PT Astra Serif" w:hAnsi="PT Astra Serif"/>
                <w:sz w:val="24"/>
                <w:szCs w:val="24"/>
              </w:rPr>
              <w:t>Инзенский</w:t>
            </w:r>
            <w:proofErr w:type="spellEnd"/>
            <w:r w:rsidRPr="0052387E">
              <w:rPr>
                <w:rFonts w:ascii="PT Astra Serif" w:hAnsi="PT Astra Serif"/>
                <w:sz w:val="24"/>
                <w:szCs w:val="24"/>
              </w:rPr>
              <w:t xml:space="preserve"> район, </w:t>
            </w:r>
            <w:proofErr w:type="gramStart"/>
            <w:r w:rsidRPr="0052387E">
              <w:rPr>
                <w:rFonts w:ascii="PT Astra Serif" w:hAnsi="PT Astra Serif"/>
                <w:sz w:val="24"/>
                <w:szCs w:val="24"/>
              </w:rPr>
              <w:t>с</w:t>
            </w:r>
            <w:proofErr w:type="gramEnd"/>
            <w:r w:rsidRPr="0052387E">
              <w:rPr>
                <w:rFonts w:ascii="PT Astra Serif" w:hAnsi="PT Astra Serif"/>
                <w:sz w:val="24"/>
                <w:szCs w:val="24"/>
              </w:rPr>
              <w:t>. Коржевка, ул. Затонная, з/у 22б</w:t>
            </w:r>
          </w:p>
        </w:tc>
        <w:tc>
          <w:tcPr>
            <w:tcW w:w="2409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30286,10</w:t>
            </w:r>
          </w:p>
        </w:tc>
        <w:tc>
          <w:tcPr>
            <w:tcW w:w="1701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908,58</w:t>
            </w:r>
          </w:p>
        </w:tc>
        <w:tc>
          <w:tcPr>
            <w:tcW w:w="1560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30286,10</w:t>
            </w:r>
          </w:p>
        </w:tc>
        <w:tc>
          <w:tcPr>
            <w:tcW w:w="1842" w:type="dxa"/>
          </w:tcPr>
          <w:p w:rsidR="0052387E" w:rsidRPr="0052387E" w:rsidRDefault="0052387E" w:rsidP="00504D69">
            <w:pPr>
              <w:tabs>
                <w:tab w:val="left" w:pos="5355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2387E">
              <w:rPr>
                <w:rFonts w:ascii="PT Astra Serif" w:hAnsi="PT Astra Serif"/>
                <w:sz w:val="24"/>
                <w:szCs w:val="24"/>
              </w:rPr>
              <w:t>20 лет</w:t>
            </w:r>
          </w:p>
        </w:tc>
      </w:tr>
    </w:tbl>
    <w:p w:rsidR="00174565" w:rsidRDefault="00C5562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55622" w:rsidRDefault="00C55622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4E7008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4E7008" w:rsidRPr="004E7008">
        <w:rPr>
          <w:rFonts w:ascii="Times New Roman" w:hAnsi="Times New Roman" w:cs="Times New Roman"/>
          <w:bCs/>
          <w:sz w:val="24"/>
          <w:szCs w:val="24"/>
        </w:rPr>
        <w:t>земельный участок относится к землям государственная, собственность на которые не разграничена.</w:t>
      </w:r>
    </w:p>
    <w:p w:rsidR="00C8221E" w:rsidRDefault="00651ECE" w:rsidP="00C8221E">
      <w:pPr>
        <w:ind w:right="-28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51ECE">
        <w:rPr>
          <w:rFonts w:ascii="Times New Roman" w:hAnsi="Times New Roman" w:cs="Times New Roman"/>
          <w:b/>
          <w:bCs/>
          <w:sz w:val="24"/>
          <w:szCs w:val="24"/>
        </w:rPr>
        <w:t>Сведения о проведенных торгах:</w:t>
      </w:r>
      <w:r w:rsidRPr="00651E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3952">
        <w:rPr>
          <w:rFonts w:ascii="Times New Roman" w:hAnsi="Times New Roman"/>
          <w:sz w:val="24"/>
          <w:szCs w:val="24"/>
        </w:rPr>
        <w:t>торги не проводились</w:t>
      </w:r>
    </w:p>
    <w:p w:rsidR="004852DF" w:rsidRPr="00F518C5" w:rsidRDefault="004852DF" w:rsidP="00441C39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>Круг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(состав)</w:t>
      </w:r>
      <w:r w:rsidRPr="004852DF">
        <w:rPr>
          <w:rFonts w:ascii="Times New Roman" w:hAnsi="Times New Roman" w:cs="Times New Roman"/>
          <w:b/>
          <w:bCs/>
          <w:sz w:val="24"/>
          <w:szCs w:val="24"/>
        </w:rPr>
        <w:t xml:space="preserve"> участников аукциона:</w:t>
      </w:r>
      <w:r w:rsidR="00F51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8C5" w:rsidRPr="00F518C5">
        <w:rPr>
          <w:rFonts w:ascii="Times New Roman" w:hAnsi="Times New Roman" w:cs="Times New Roman"/>
          <w:bCs/>
          <w:sz w:val="24"/>
          <w:szCs w:val="24"/>
        </w:rPr>
        <w:t>открытый.</w:t>
      </w:r>
    </w:p>
    <w:p w:rsidR="00993CD2" w:rsidRPr="00993CD2" w:rsidRDefault="00993CD2" w:rsidP="00441C39">
      <w:pPr>
        <w:suppressAutoHyphens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Default="00993CD2" w:rsidP="00441C39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93CD2">
        <w:rPr>
          <w:rFonts w:ascii="Times New Roman" w:eastAsia="Calibri" w:hAnsi="Times New Roman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93CD2" w:rsidRDefault="00441C39" w:rsidP="00993CD2">
      <w:pPr>
        <w:suppressAutoHyphens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E7008" w:rsidRPr="004E7008" w:rsidRDefault="004E7008" w:rsidP="00441C39">
      <w:pPr>
        <w:ind w:right="-28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52387E" w:rsidRPr="0052387E" w:rsidRDefault="004E7008" w:rsidP="0052387E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00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(филиал ПАО «</w:t>
      </w:r>
      <w:proofErr w:type="spellStart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 - Ульяновские распределительные сети» </w:t>
      </w:r>
      <w:proofErr w:type="spellStart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Барышское</w:t>
      </w:r>
      <w:proofErr w:type="spellEnd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производственное отделение от 13.02.2025 №МР</w:t>
      </w:r>
      <w:proofErr w:type="gramStart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/120/401/100/139): </w:t>
      </w:r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электроснабжение данного участка возможно по уровню напряжения 10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опора №30 ВЛ-10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№6 от ПС-35/10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«Коржевка» на расстоянии около 338 м, по уровню напряжения 0,4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опора № 37 ВЛ-0,4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 от ТП №К6-3/160 </w:t>
      </w:r>
      <w:proofErr w:type="spell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</w:t>
      </w:r>
      <w:proofErr w:type="spell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gramStart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расстоянии</w:t>
      </w:r>
      <w:proofErr w:type="gramEnd"/>
      <w:r w:rsidR="0052387E"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около 55 м.</w:t>
      </w:r>
    </w:p>
    <w:p w:rsidR="0052387E" w:rsidRPr="0052387E" w:rsidRDefault="0052387E" w:rsidP="0052387E">
      <w:pPr>
        <w:spacing w:after="0" w:line="240" w:lineRule="auto"/>
        <w:ind w:right="-31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Размер платы за технологическое присоединение </w:t>
      </w:r>
      <w:proofErr w:type="spellStart"/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энергопринимающих</w:t>
      </w:r>
      <w:proofErr w:type="spellEnd"/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Россети</w:t>
      </w:r>
      <w:proofErr w:type="spellEnd"/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Ульяновской области от 28.11.2024</w:t>
      </w:r>
    </w:p>
    <w:p w:rsidR="0052387E" w:rsidRPr="0052387E" w:rsidRDefault="0052387E" w:rsidP="0052387E">
      <w:pPr>
        <w:spacing w:after="0" w:line="240" w:lineRule="auto"/>
        <w:ind w:right="-31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сведения носят предварительный характер, могут уточняться при полу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чении </w:t>
      </w:r>
      <w:r w:rsidRPr="0052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52387E" w:rsidRDefault="0052387E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Газоснабжение (ООО «Газпром газораспределение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Ульяновск» филиал в г. Барыш №166/02 от 17.02</w:t>
      </w:r>
      <w:r w:rsidRPr="0052387E">
        <w:rPr>
          <w:rFonts w:ascii="Times New Roman" w:eastAsia="Times New Roman" w:hAnsi="Times New Roman" w:cs="Times New Roman"/>
          <w:sz w:val="24"/>
          <w:szCs w:val="24"/>
          <w:lang w:eastAsia="ru-RU"/>
        </w:rPr>
        <w:t>.2025):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технологической возможности подключения не имеется.</w:t>
      </w:r>
    </w:p>
    <w:p w:rsidR="0052387E" w:rsidRDefault="0052387E" w:rsidP="00441C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3.Теплоснабжение, водоснабжение, водоотведение (администрация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Коржевского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11.02.2025 №73-иомсу-04-04/36исх): центральное теплоснабжение, водоотведение отсутствует. Технологической возможности </w:t>
      </w:r>
      <w:r w:rsid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подключения к центральному водоснабжению не имеется.</w:t>
      </w:r>
    </w:p>
    <w:p w:rsidR="00E067FC" w:rsidRDefault="00E067FC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BA0" w:rsidRPr="00AB4BA0" w:rsidRDefault="00AB4BA0" w:rsidP="00441C3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BA0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Pr="00AB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7D2139" w:rsidRDefault="00A0615D" w:rsidP="00617E21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Правилам землепользования и застройки муниципального образования </w:t>
      </w:r>
      <w:proofErr w:type="spellStart"/>
      <w:r w:rsid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Коржевское</w:t>
      </w:r>
      <w:proofErr w:type="spellEnd"/>
      <w:r w:rsid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утвержденным решением Совета депутатов </w:t>
      </w:r>
      <w:proofErr w:type="spellStart"/>
      <w:r w:rsid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Коржевское</w:t>
      </w:r>
      <w:proofErr w:type="spellEnd"/>
      <w:r w:rsid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 17.05.2011 №16 </w:t>
      </w:r>
      <w:r w:rsidR="00077C25"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распо</w:t>
      </w:r>
      <w:r w:rsidR="00BB678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 в территориаль</w:t>
      </w:r>
      <w:r w:rsidR="007D2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зоне </w:t>
      </w:r>
      <w:r w:rsidR="00617E21" w:rsidRPr="00617E21">
        <w:rPr>
          <w:rFonts w:ascii="Times New Roman" w:eastAsia="Times New Roman" w:hAnsi="Times New Roman" w:cs="Times New Roman"/>
          <w:sz w:val="24"/>
          <w:szCs w:val="24"/>
          <w:lang w:eastAsia="ru-RU"/>
        </w:rPr>
        <w:t>ЖЗ1Зона индивидуальной жилой застройки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617E21" w:rsidRPr="00617E21" w:rsidTr="00504D69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разрешенного использования)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строений,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которых запрещено строительство зданий,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зданий,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Максимальный процент застройки в границах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архитектурным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капитального строительства, расположенным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617E21" w:rsidRPr="00617E21" w:rsidTr="00504D69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17E21" w:rsidRPr="00617E21" w:rsidTr="00504D69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17E2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E21" w:rsidRPr="00617E21" w:rsidRDefault="00617E21" w:rsidP="00617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21" w:rsidRPr="00617E21" w:rsidTr="00504D69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-Индивидуальные жилые дома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-Многоквартирные жилые дома до 4-х этажей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дошкольного образования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общего образования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здравоохранения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общественного питания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делового и финансового назначения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социального и коммунально-бытового назначения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-Административные объекты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-Гостиницы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физкультуры и спорта</w:t>
            </w:r>
          </w:p>
          <w:p w:rsidR="00617E21" w:rsidRPr="00617E21" w:rsidRDefault="00617E21" w:rsidP="00617E21">
            <w:pPr>
              <w:keepLines/>
              <w:overflowPunct w:val="0"/>
              <w:autoSpaceDE w:val="0"/>
              <w:spacing w:after="0" w:line="320" w:lineRule="exact"/>
              <w:ind w:left="360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-Объекты культуры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-Многофункциональные объекты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3.1. Минимальная площадь земельного участка для индивидуального жилого дома 300 кв.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Минимальные отступы от границ соседних земельных участков: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- 3 метра до объектов капитального строительства;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- 1 метр до хозяйственных построек;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 в случае примыкания к объектам капитального строительства соседнего земельного участка, при обязательном наличии глухих стен у обоих примыкающих зданий-0 метров по согласованию со смежными землепользователями.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ограждений земельных участков: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  - вдоль транспортных магистралей - 2,5 м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  - вдоль улиц и проездов - 1,8 м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  -между соседними участками застройки  -  1,8 м без согласования со смежными </w:t>
            </w:r>
            <w:proofErr w:type="gramStart"/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земле    </w:t>
            </w: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пользователями</w:t>
            </w:r>
            <w:proofErr w:type="gramEnd"/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. Более 1,8 м — по согласованию со смежными землепользователями.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ландшафта. Норм инсоляции и освещенности.</w:t>
            </w:r>
          </w:p>
          <w:p w:rsidR="00617E21" w:rsidRPr="00617E21" w:rsidRDefault="00617E21" w:rsidP="00617E2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/>
              </w:rPr>
            </w:pPr>
          </w:p>
          <w:p w:rsidR="00617E21" w:rsidRPr="00617E21" w:rsidRDefault="00617E21" w:rsidP="00617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Максимальное количество этажей зданий, строений, сооружений на территории земельного участка (включая мансардный этаж) – 3 этажа.</w:t>
            </w:r>
          </w:p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Максимальная высота зданий, строений и сооружений на территории земельного          участка – 15 метров.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617E21" w:rsidRPr="00617E21" w:rsidRDefault="00617E21" w:rsidP="00617E2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E21" w:rsidRPr="00617E21" w:rsidRDefault="00617E21" w:rsidP="00617E21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617E21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793DE1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283D65" w:rsidRPr="00441C39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441C3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441C3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Электронная площадка Акционерного общества «Единая электронная торговая площадка» (http://roseltorg.ru). </w:t>
      </w:r>
    </w:p>
    <w:p w:rsidR="007C35C7" w:rsidRPr="00441C39" w:rsidRDefault="007C35C7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>кциона сроки, при этом первоначальная заявка должна быть отозвана.</w:t>
      </w:r>
    </w:p>
    <w:p w:rsidR="007C35C7" w:rsidRPr="00441C39" w:rsidRDefault="007C35C7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кциона и документации об аукционе. 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Прием заявок и прилагаемых к ним документов начинается с даты и времени, указанных </w:t>
      </w: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в</w:t>
      </w:r>
      <w:proofErr w:type="gramEnd"/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C109CC" w:rsidRPr="00441C39" w:rsidRDefault="00D35E8B" w:rsidP="00D35E8B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</w:t>
      </w:r>
      <w:proofErr w:type="gramEnd"/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, осуществляется в сроки, установленные в И</w:t>
      </w:r>
      <w:r w:rsidR="00C109CC"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проведении аукциона</w:t>
      </w:r>
      <w:r w:rsidR="00C109CC" w:rsidRPr="00441C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 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>документов.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Одно лицо имеет право подать только одну заявку в отношении каждого лота.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ab/>
        <w:t xml:space="preserve">  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C109CC" w:rsidRPr="00441C39" w:rsidRDefault="00C109CC" w:rsidP="00C109CC">
      <w:pPr>
        <w:tabs>
          <w:tab w:val="left" w:pos="36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Заявитель не допускается к участию в аукционе в следующих случаях: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1) непредставление необходимых для участия в аукционе документов или представление недостоверных сведений;</w:t>
      </w:r>
    </w:p>
    <w:p w:rsidR="00C109CC" w:rsidRPr="00441C39" w:rsidRDefault="00C109CC" w:rsidP="00C109CC">
      <w:pPr>
        <w:tabs>
          <w:tab w:val="left" w:pos="0"/>
        </w:tabs>
        <w:suppressAutoHyphens/>
        <w:autoSpaceDE w:val="0"/>
        <w:snapToGri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2) не поступление задатка на дату рассмотрения заявок на участие в аукционе;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покупателем Земельного участка;</w:t>
      </w:r>
    </w:p>
    <w:p w:rsidR="005E73D0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  <w:proofErr w:type="gramEnd"/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Одновременно с Заявкой на участие в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109CC" w:rsidRPr="00441C39" w:rsidRDefault="00C109CC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1) заявка на участие в аукционе, по установленной в Извещении о проведение аукциона форме, с указанием банковских реквизитов счета для возврата задатка</w:t>
      </w:r>
      <w:r w:rsidR="00D35E8B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(в соответствии с прилагаемой к извещению формой)</w:t>
      </w: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;</w:t>
      </w:r>
    </w:p>
    <w:p w:rsidR="00C109CC" w:rsidRPr="00441C39" w:rsidRDefault="00D35E8B" w:rsidP="00C109CC">
      <w:pPr>
        <w:spacing w:after="0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2)</w:t>
      </w:r>
      <w:r w:rsidR="00C109CC"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копии документов, удостоверяющих личность заявителя (для граждан);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4)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C109CC" w:rsidRPr="00441C39" w:rsidRDefault="00C109CC" w:rsidP="00C109CC">
      <w:pPr>
        <w:spacing w:after="0" w:line="240" w:lineRule="auto"/>
        <w:ind w:right="-284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  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кциона.</w:t>
      </w:r>
    </w:p>
    <w:p w:rsidR="00C109CC" w:rsidRPr="00441C39" w:rsidRDefault="00C109CC" w:rsidP="00C109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t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85556B" w:rsidRPr="00441C39" w:rsidRDefault="0085556B" w:rsidP="0085556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участника. Данное правило не распространяется для договора аренды земельного участка, который заключается сторонами в простой письменной форме</w:t>
      </w:r>
    </w:p>
    <w:p w:rsidR="00C109CC" w:rsidRPr="00441C39" w:rsidRDefault="00C109CC" w:rsidP="00C109CC">
      <w:pPr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Cs/>
          <w:color w:val="00000A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Default="00283D65" w:rsidP="00C109CC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C109C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17E2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19</w:t>
      </w:r>
      <w:bookmarkStart w:id="0" w:name="_GoBack"/>
      <w:bookmarkEnd w:id="0"/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.02.2025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C57F88" w:rsidRDefault="008A5A39" w:rsidP="00C57F88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E024D3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E024D3">
        <w:rPr>
          <w:rFonts w:ascii="Times New Roman" w:hAnsi="Times New Roman" w:cs="Times New Roman"/>
          <w:color w:val="000000"/>
          <w:sz w:val="24"/>
          <w:szCs w:val="24"/>
        </w:rPr>
        <w:t xml:space="preserve"> чем 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дня до наступления даты его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проведения, о чем он извещает Заявителей на участие в аукционе и размещает соответствующее информационное сообщение на электронной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4D3">
        <w:rPr>
          <w:rFonts w:ascii="Times New Roman" w:hAnsi="Times New Roman" w:cs="Times New Roman"/>
          <w:color w:val="000000"/>
          <w:sz w:val="24"/>
          <w:szCs w:val="24"/>
        </w:rPr>
        <w:t>площадке, официальном сайте Организатора аукциона и официальном сайте www.torgi.gov.ru в течение 3 (трех) дней.</w:t>
      </w:r>
    </w:p>
    <w:p w:rsidR="00441C39" w:rsidRDefault="00283D65" w:rsidP="00C57F88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39047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24.03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17ч.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283D65" w:rsidRPr="00DD0C2D" w:rsidRDefault="00283D65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-</w:t>
      </w:r>
      <w:r w:rsidR="00390470"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B742F7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26.03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(время местное)</w:t>
      </w:r>
    </w:p>
    <w:p w:rsidR="00390470" w:rsidRPr="00C109CC" w:rsidRDefault="00B742F7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Заявитель, признанный участником аукциона, становится участником аукциона 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подписания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организатором аукциона протокола рассмотрения заявок.</w:t>
      </w:r>
    </w:p>
    <w:p w:rsidR="00390470" w:rsidRPr="00C109CC" w:rsidRDefault="005E73D0" w:rsidP="00283D65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390470" w:rsidRPr="00C109CC" w:rsidRDefault="005E73D0" w:rsidP="005E73D0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C109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соответствующего протокола направляет заявителю три экземпляра подписанного проекта договора аренды земельного участка.</w:t>
      </w:r>
    </w:p>
    <w:p w:rsidR="005E73D0" w:rsidRPr="005E73D0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этом размер арендной платы по договору аренды земельного участка определяется в размере, равном начальной цене предмета аукциона.</w:t>
      </w:r>
    </w:p>
    <w:p w:rsidR="004852DF" w:rsidRDefault="005E73D0" w:rsidP="004852DF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ау</w:t>
      </w:r>
      <w:proofErr w:type="gramEnd"/>
      <w:r w:rsidRPr="005E73D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 При этом размер арендной платы по договору аренды определяется в размере, равном начальной цене предмета аукциона.</w:t>
      </w:r>
    </w:p>
    <w:p w:rsidR="00441C39" w:rsidRPr="00C109CC" w:rsidRDefault="004852DF" w:rsidP="00C57F8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позднее</w:t>
      </w:r>
      <w:proofErr w:type="gramEnd"/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на следующий рабочий день после дня подписания протокола. Данный протокол после </w:t>
      </w:r>
      <w:r w:rsidRPr="004852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441C39" w:rsidRDefault="00283D65" w:rsidP="00283D65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</w:t>
      </w:r>
      <w:r w:rsidRPr="005E73D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283D6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28.03</w:t>
      </w:r>
      <w:r w:rsidR="002050D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.2025</w:t>
      </w:r>
      <w:r w:rsidR="00763755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11</w:t>
      </w:r>
      <w:r w:rsidR="00DD0C2D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441C39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Дата и время регистрации на электронной площадке Заявителей на участие в аукционе осуществляется ежедневно, круглосуточно, но не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позднее даты и времени окончания подачи (приема) Заявок.</w:t>
      </w:r>
    </w:p>
    <w:p w:rsidR="000D27D1" w:rsidRDefault="000D27D1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color w:val="00000A"/>
          <w:sz w:val="24"/>
          <w:szCs w:val="24"/>
        </w:rPr>
        <w:t>Регистрация на электронной площадке осуществляется без взимания платы.</w:t>
      </w:r>
      <w:r w:rsidRPr="00441C39">
        <w:rPr>
          <w:rFonts w:ascii="Times New Roman" w:hAnsi="Times New Roman" w:cs="Times New Roman"/>
          <w:color w:val="00000A"/>
          <w:sz w:val="24"/>
          <w:szCs w:val="24"/>
        </w:rPr>
        <w:br/>
        <w:t>Регистрации на электронной площадке подлежат Заявители, ранее не зарегистрированные на электронной площадке или регистрация</w:t>
      </w:r>
    </w:p>
    <w:p w:rsidR="00441C39" w:rsidRPr="00441C39" w:rsidRDefault="00441C39" w:rsidP="000D27D1">
      <w:pPr>
        <w:tabs>
          <w:tab w:val="left" w:pos="1276"/>
        </w:tabs>
        <w:suppressAutoHyphens/>
        <w:spacing w:after="0" w:line="240" w:lineRule="auto"/>
        <w:ind w:right="-284"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811D6" w:rsidRPr="00441C39" w:rsidRDefault="00E024D3" w:rsidP="007B3F2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</w:t>
      </w:r>
      <w:r w:rsidR="007B3F2F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ab/>
      </w:r>
      <w:r w:rsidR="00C109CC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CC49DA" w:rsidRPr="00441C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9076FD" w:rsidRPr="00441C39" w:rsidRDefault="00CC49DA" w:rsidP="009076FD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является публичной офертой для заключения договора о задатк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е в соответствии со статьей 437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Гражданского кодекса Российской Федерации, а подача претендентом заявки и перечисление задатка являются ак</w:t>
      </w:r>
      <w:r w:rsidR="00E024D3"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цептом такой оферты, после чего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t>договор о задатке считается заключенным в письменной форме.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Для участия в аукционе Заявитель вносит задаток в размере 100% от начальной цены предмета аукциона (ежегодного размера арендной платы)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Задаток, внесенный победителем аукциона, засчитывается в счет арендной платы по договору аренды за первый год действия договора аренды.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аренды, задаток ему не возвращается.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Лицам, перечислившим задаток для участия в аукционе на право заключения договора аренды, денежные средства возвращаются в следующем порядке: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а) участникам, за исключением победителя, - в течение 3 (трех) рабочих дней со дня подведения результатов аукциона;</w:t>
      </w:r>
    </w:p>
    <w:p w:rsidR="00E024D3" w:rsidRPr="00441C39" w:rsidRDefault="00E024D3" w:rsidP="00E024D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б) заявителям, не допущенным к участию в аукционе, - в течение 3 (трех) рабочих дней со дня подписания протокола о рассмотрении заявок.</w:t>
      </w:r>
    </w:p>
    <w:p w:rsidR="008A5A39" w:rsidRPr="00441C39" w:rsidRDefault="00E024D3" w:rsidP="008A5A39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A5A39" w:rsidRPr="00441C39" w:rsidRDefault="008A5A39" w:rsidP="008A5A39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A5A39" w:rsidRPr="00441C39" w:rsidRDefault="008A5A39" w:rsidP="008A5A3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</w:r>
      <w:hyperlink r:id="rId15" w:anchor="dst689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пунктом 13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16" w:anchor="dst690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14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или </w:t>
      </w:r>
      <w:hyperlink r:id="rId17" w:anchor="dst702" w:history="1">
        <w:r w:rsidRPr="00441C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shd w:val="clear" w:color="auto" w:fill="FFFFFF"/>
            <w:lang w:eastAsia="ru-RU"/>
          </w:rPr>
          <w:t>20</w:t>
        </w:r>
      </w:hyperlink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ст. 39.12 Земельного кодекса РФ,  в счет арендной платы за него. </w:t>
      </w:r>
    </w:p>
    <w:p w:rsidR="008A5A39" w:rsidRPr="00441C39" w:rsidRDefault="008A5A39" w:rsidP="00707C18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41C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Задатки, внесенные этими лицами, не заключившими в установленном настоящей статьей порядке договор аренды земельного участка вследствие уклонения от заключения указанных договоров, не возвращаются.</w:t>
      </w:r>
    </w:p>
    <w:p w:rsidR="00D83D90" w:rsidRDefault="00E024D3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с даты размещения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об этом информационного сообщения.</w:t>
      </w:r>
    </w:p>
    <w:p w:rsidR="00441C39" w:rsidRPr="00441C39" w:rsidRDefault="00441C39" w:rsidP="007B3F2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3D90" w:rsidRPr="00441C39" w:rsidRDefault="00707C18" w:rsidP="00E024D3">
      <w:pPr>
        <w:spacing w:after="0"/>
        <w:ind w:right="-284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D83D90" w:rsidRPr="00441C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441C39" w:rsidRDefault="003B0E9D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441C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поступило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программноаппаратных</w:t>
      </w:r>
      <w:proofErr w:type="spell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441C39" w:rsidRDefault="00441C39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C5507" w:rsidRPr="00441C39">
        <w:rPr>
          <w:rFonts w:ascii="Times New Roman" w:hAnsi="Times New Roman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- ввести новое предложение о цене предмета аукциона с соблюдением условий, указанных в извещении о проведении процедуры аукциона; 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При вводе ценового предложения АС Оператора запрашивает подтверждение вводимой информации и в случае несоответствия информации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</w:t>
      </w: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Оператора информирует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Участник аукциона (аренда и продажа земельного участка) может подать предложение о цене договора при условии соблюдения следующих требований: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аукциона.</w:t>
      </w:r>
    </w:p>
    <w:p w:rsidR="00EC5507" w:rsidRPr="00441C39" w:rsidRDefault="00EC5507" w:rsidP="005022FA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Протокол проведения электронного аукциона размещается АС Оператора в Открытой и Закрытой частях АС Оператора в течение 1 (одного) часа после окончания аукциона (аренда и продажа земельного участка), и должен содержать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</w:t>
      </w:r>
      <w:r w:rsidR="003F65EC" w:rsidRPr="00441C3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3F65EC" w:rsidRPr="00441C39" w:rsidRDefault="003F65EC" w:rsidP="005022FA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F65EC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C39">
        <w:rPr>
          <w:rFonts w:ascii="Times New Roman" w:hAnsi="Times New Roman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441C3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41C39">
        <w:rPr>
          <w:rFonts w:ascii="Times New Roman" w:hAnsi="Times New Roman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441C39" w:rsidRDefault="003F65EC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Решение о признан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441C39" w:rsidRDefault="00FE318D" w:rsidP="003F65EC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441C39" w:rsidRDefault="0097475E" w:rsidP="0097475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441C39" w:rsidRDefault="00D83D90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аренды.</w:t>
      </w:r>
    </w:p>
    <w:p w:rsidR="00441C39" w:rsidRPr="00441C39" w:rsidRDefault="00D83D90" w:rsidP="00E06D33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3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41C3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41C39">
        <w:rPr>
          <w:rFonts w:ascii="Times New Roman" w:hAnsi="Times New Roman" w:cs="Times New Roman"/>
          <w:color w:val="000000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>
        <w:rPr>
          <w:rFonts w:ascii="Times New Roman" w:hAnsi="Times New Roman" w:cs="Times New Roman"/>
          <w:color w:val="000000"/>
          <w:sz w:val="24"/>
          <w:szCs w:val="24"/>
        </w:rPr>
        <w:t>ачальной цене предмета аукциона.</w:t>
      </w:r>
    </w:p>
    <w:p w:rsidR="007C15B3" w:rsidRDefault="004E606E" w:rsidP="0004085C">
      <w:pPr>
        <w:spacing w:after="0"/>
        <w:ind w:right="-284" w:firstLine="708"/>
        <w:jc w:val="both"/>
        <w:rPr>
          <w:rFonts w:ascii="Liberation Sans-Bold" w:hAnsi="Liberation Sans-Bold"/>
          <w:b/>
          <w:bCs/>
          <w:color w:val="000000"/>
        </w:rPr>
      </w:pPr>
      <w:r>
        <w:rPr>
          <w:rFonts w:ascii="Liberation Sans-Bold" w:hAnsi="Liberation Sans-Bold"/>
          <w:b/>
          <w:bCs/>
          <w:color w:val="000000"/>
        </w:rPr>
        <w:t>10</w:t>
      </w:r>
      <w:r w:rsidR="00D83D90">
        <w:rPr>
          <w:rFonts w:ascii="Liberation Sans-Bold" w:hAnsi="Liberation Sans-Bold"/>
          <w:b/>
          <w:bCs/>
          <w:color w:val="000000"/>
        </w:rPr>
        <w:t xml:space="preserve">. Срок заключения договора </w:t>
      </w:r>
      <w:r w:rsidR="0018082F">
        <w:rPr>
          <w:rFonts w:ascii="Liberation Sans-Bold" w:hAnsi="Liberation Sans-Bold"/>
          <w:b/>
          <w:bCs/>
          <w:color w:val="000000"/>
        </w:rPr>
        <w:t xml:space="preserve">аренды </w:t>
      </w:r>
      <w:r w:rsidR="00D83D90">
        <w:rPr>
          <w:rFonts w:ascii="Liberation Sans-Bold" w:hAnsi="Liberation Sans-Bold"/>
          <w:b/>
          <w:bCs/>
          <w:color w:val="000000"/>
        </w:rPr>
        <w:t>имущества:</w:t>
      </w:r>
    </w:p>
    <w:p w:rsidR="00D83D90" w:rsidRDefault="0097475E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проведения электронного аукциона не допускается </w:t>
      </w:r>
      <w:r w:rsidR="0004085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ранее</w:t>
      </w:r>
      <w:r w:rsidR="009861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7475E">
        <w:rPr>
          <w:rFonts w:ascii="Times New Roman" w:hAnsi="Times New Roman" w:cs="Times New Roman"/>
          <w:color w:val="000000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085C" w:rsidRDefault="00986139" w:rsidP="00D83D90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6139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вышеуказанного срока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 xml:space="preserve"> направить победителю электронного аукциона или иным лицам, с которыми в соответствии с пунктами 13, 14, 20 и 25 статьи 39.12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Земельного кодекса </w:t>
      </w:r>
      <w:r w:rsidRPr="00986139">
        <w:rPr>
          <w:rFonts w:ascii="Times New Roman" w:hAnsi="Times New Roman" w:cs="Times New Roman"/>
          <w:color w:val="000000"/>
          <w:sz w:val="24"/>
          <w:szCs w:val="24"/>
        </w:rPr>
        <w:t>заключается договор аренды такого участка, подписанный проект  договора аренды такого участка.</w:t>
      </w:r>
    </w:p>
    <w:p w:rsidR="00820CE5" w:rsidRPr="00820CE5" w:rsidRDefault="00820CE5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</w:t>
      </w:r>
      <w:r>
        <w:rPr>
          <w:rFonts w:ascii="Times New Roman" w:hAnsi="Times New Roman" w:cs="Times New Roman"/>
          <w:color w:val="000000"/>
          <w:sz w:val="24"/>
          <w:szCs w:val="24"/>
        </w:rPr>
        <w:t>е, предложенной победителем аук</w:t>
      </w:r>
      <w:r w:rsidRPr="00820CE5">
        <w:rPr>
          <w:rFonts w:ascii="Times New Roman" w:hAnsi="Times New Roman" w:cs="Times New Roman"/>
          <w:color w:val="000000"/>
          <w:sz w:val="24"/>
          <w:szCs w:val="24"/>
        </w:rPr>
        <w:t>циона.</w:t>
      </w:r>
    </w:p>
    <w:p w:rsidR="00441C39" w:rsidRDefault="00820CE5" w:rsidP="002050DF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 аренды земельного участка этот участник не представил в уполномоченный </w:t>
      </w:r>
      <w:proofErr w:type="gramStart"/>
      <w:r w:rsidRPr="00820CE5">
        <w:rPr>
          <w:rFonts w:ascii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820CE5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настоящим Земельного Кодекса РФ.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11.</w:t>
      </w:r>
      <w:r w:rsidRPr="004E606E"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документами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содержащими характер</w:t>
      </w:r>
      <w:r>
        <w:rPr>
          <w:rFonts w:ascii="Times New Roman" w:hAnsi="Times New Roman" w:cs="Times New Roman"/>
          <w:color w:val="000000"/>
          <w:sz w:val="24"/>
          <w:szCs w:val="24"/>
        </w:rPr>
        <w:t>истики позволяющие идентифициро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вать земельный участок, формой заявки, градостроительными планами, в том числе правоустанавливаю</w:t>
      </w:r>
      <w:r>
        <w:rPr>
          <w:rFonts w:ascii="Times New Roman" w:hAnsi="Times New Roman" w:cs="Times New Roman"/>
          <w:color w:val="000000"/>
          <w:sz w:val="24"/>
          <w:szCs w:val="24"/>
        </w:rPr>
        <w:t>щей документацией, условиями до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говора аренды можно ознакомится в период приема заявок, направив запрос на электронный адрес  kumizoinza@mail.ru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Ответ на запрос направляется в течени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>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вправе ос</w:t>
      </w:r>
      <w:r>
        <w:rPr>
          <w:rFonts w:ascii="Times New Roman" w:hAnsi="Times New Roman" w:cs="Times New Roman"/>
          <w:color w:val="000000"/>
          <w:sz w:val="24"/>
          <w:szCs w:val="24"/>
        </w:rPr>
        <w:t>мотреть земельный участо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Запрос (в произвольной форме) на осмотр земельного участка может быть направлен  не </w:t>
      </w:r>
      <w:proofErr w:type="gram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 чем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два рабочих дня до даты оконча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>ния срока подачи заявок на участие в аукционе следующими способами: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4E606E">
        <w:rPr>
          <w:rFonts w:ascii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4E606E">
        <w:rPr>
          <w:rFonts w:ascii="Times New Roman" w:hAnsi="Times New Roman" w:cs="Times New Roman"/>
          <w:color w:val="000000"/>
          <w:sz w:val="24"/>
          <w:szCs w:val="24"/>
        </w:rPr>
        <w:t>. 3</w:t>
      </w:r>
    </w:p>
    <w:p w:rsidR="004E606E" w:rsidRPr="004E606E" w:rsidRDefault="004E606E" w:rsidP="004E606E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06E">
        <w:rPr>
          <w:rFonts w:ascii="Times New Roman" w:hAnsi="Times New Roman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сообщении, регулируются законо</w:t>
      </w:r>
      <w:r w:rsidRPr="004E606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дательством Российской Федерации. 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8" w:anchor="dst689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9" w:anchor="dst690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20" w:anchor="dst70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21" w:anchor="dst101232" w:history="1">
        <w:r w:rsidRPr="005E630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5E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ЗК РФ </w:t>
      </w:r>
      <w:r w:rsidRPr="005E630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5E6305" w:rsidRDefault="005E6305" w:rsidP="005E6305">
      <w:pPr>
        <w:spacing w:after="0" w:line="240" w:lineRule="auto"/>
        <w:ind w:right="-284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E630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 xml:space="preserve">Плата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</w:t>
      </w:r>
      <w:r w:rsidRPr="005E6305">
        <w:rPr>
          <w:rFonts w:ascii="Times New Roman" w:hAnsi="Times New Roman" w:cs="Times New Roman"/>
          <w:sz w:val="24"/>
          <w:szCs w:val="24"/>
        </w:rPr>
        <w:lastRenderedPageBreak/>
        <w:t>24.07.2007 № 209-ФЗ «О развитии малого и среднего предпринимательства в Российской Федерации» а также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5E63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6305">
        <w:rPr>
          <w:rFonts w:ascii="Times New Roman" w:hAnsi="Times New Roman" w:cs="Times New Roman"/>
          <w:sz w:val="24"/>
          <w:szCs w:val="24"/>
        </w:rPr>
        <w:t xml:space="preserve">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5E6305" w:rsidRDefault="005E6305" w:rsidP="005E6305">
      <w:pPr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05">
        <w:rPr>
          <w:rFonts w:ascii="Times New Roman" w:hAnsi="Times New Roman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2" w:history="1">
        <w:r w:rsidRPr="005E630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938A5" w:rsidRDefault="004E606E" w:rsidP="00820CE5">
      <w:pPr>
        <w:spacing w:after="0"/>
        <w:ind w:right="-284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E606E" w:rsidRPr="002938A5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04" w:rsidRDefault="00CB3204" w:rsidP="008B3952">
      <w:pPr>
        <w:spacing w:after="0" w:line="240" w:lineRule="auto"/>
      </w:pPr>
      <w:r>
        <w:separator/>
      </w:r>
    </w:p>
  </w:endnote>
  <w:endnote w:type="continuationSeparator" w:id="0">
    <w:p w:rsidR="00CB3204" w:rsidRDefault="00CB3204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-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04" w:rsidRDefault="00CB3204" w:rsidP="008B3952">
      <w:pPr>
        <w:spacing w:after="0" w:line="240" w:lineRule="auto"/>
      </w:pPr>
      <w:r>
        <w:separator/>
      </w:r>
    </w:p>
  </w:footnote>
  <w:footnote w:type="continuationSeparator" w:id="0">
    <w:p w:rsidR="00CB3204" w:rsidRDefault="00CB3204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24A15"/>
    <w:rsid w:val="00135A7C"/>
    <w:rsid w:val="00147796"/>
    <w:rsid w:val="00166DEF"/>
    <w:rsid w:val="00174565"/>
    <w:rsid w:val="0018082F"/>
    <w:rsid w:val="001C7F30"/>
    <w:rsid w:val="001F3BAC"/>
    <w:rsid w:val="002050DF"/>
    <w:rsid w:val="0020735B"/>
    <w:rsid w:val="00226535"/>
    <w:rsid w:val="002321E4"/>
    <w:rsid w:val="0023678C"/>
    <w:rsid w:val="00265F3D"/>
    <w:rsid w:val="00283D65"/>
    <w:rsid w:val="002938A5"/>
    <w:rsid w:val="00323415"/>
    <w:rsid w:val="0033219D"/>
    <w:rsid w:val="00337D0A"/>
    <w:rsid w:val="00390470"/>
    <w:rsid w:val="003B0E9D"/>
    <w:rsid w:val="003B7AA9"/>
    <w:rsid w:val="003E2772"/>
    <w:rsid w:val="003E298C"/>
    <w:rsid w:val="003F65EC"/>
    <w:rsid w:val="00403738"/>
    <w:rsid w:val="00426953"/>
    <w:rsid w:val="00427E8C"/>
    <w:rsid w:val="00441C39"/>
    <w:rsid w:val="004852DF"/>
    <w:rsid w:val="004C133A"/>
    <w:rsid w:val="004E606E"/>
    <w:rsid w:val="004E7008"/>
    <w:rsid w:val="005022FA"/>
    <w:rsid w:val="00505898"/>
    <w:rsid w:val="0051775F"/>
    <w:rsid w:val="005177FB"/>
    <w:rsid w:val="00522078"/>
    <w:rsid w:val="0052387E"/>
    <w:rsid w:val="0055355B"/>
    <w:rsid w:val="005667A4"/>
    <w:rsid w:val="005712BE"/>
    <w:rsid w:val="00584AB1"/>
    <w:rsid w:val="005D06A1"/>
    <w:rsid w:val="005E6305"/>
    <w:rsid w:val="005E73D0"/>
    <w:rsid w:val="00612FC2"/>
    <w:rsid w:val="00617E21"/>
    <w:rsid w:val="00651ECE"/>
    <w:rsid w:val="006923AE"/>
    <w:rsid w:val="006C0639"/>
    <w:rsid w:val="00703FEC"/>
    <w:rsid w:val="00707C18"/>
    <w:rsid w:val="007105FB"/>
    <w:rsid w:val="00756337"/>
    <w:rsid w:val="00763755"/>
    <w:rsid w:val="00780C58"/>
    <w:rsid w:val="007811D6"/>
    <w:rsid w:val="00793DE1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9076FD"/>
    <w:rsid w:val="009116C7"/>
    <w:rsid w:val="00920844"/>
    <w:rsid w:val="0097475E"/>
    <w:rsid w:val="009776B2"/>
    <w:rsid w:val="00986139"/>
    <w:rsid w:val="00993CD2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9069D"/>
    <w:rsid w:val="00AA20FF"/>
    <w:rsid w:val="00AA3A39"/>
    <w:rsid w:val="00AB4BA0"/>
    <w:rsid w:val="00AC1AAF"/>
    <w:rsid w:val="00AE77E3"/>
    <w:rsid w:val="00B559D2"/>
    <w:rsid w:val="00B742F7"/>
    <w:rsid w:val="00B74410"/>
    <w:rsid w:val="00B909A9"/>
    <w:rsid w:val="00BB678A"/>
    <w:rsid w:val="00BE258C"/>
    <w:rsid w:val="00C109CC"/>
    <w:rsid w:val="00C268C3"/>
    <w:rsid w:val="00C42653"/>
    <w:rsid w:val="00C55622"/>
    <w:rsid w:val="00C57F88"/>
    <w:rsid w:val="00C70D53"/>
    <w:rsid w:val="00C72501"/>
    <w:rsid w:val="00C74CB5"/>
    <w:rsid w:val="00C8221E"/>
    <w:rsid w:val="00CB3204"/>
    <w:rsid w:val="00CC19E3"/>
    <w:rsid w:val="00CC49DA"/>
    <w:rsid w:val="00CF1E3A"/>
    <w:rsid w:val="00D10A50"/>
    <w:rsid w:val="00D13518"/>
    <w:rsid w:val="00D35E8B"/>
    <w:rsid w:val="00D83D90"/>
    <w:rsid w:val="00D95B9A"/>
    <w:rsid w:val="00D969C3"/>
    <w:rsid w:val="00DB269C"/>
    <w:rsid w:val="00DD0C2D"/>
    <w:rsid w:val="00DD0FF1"/>
    <w:rsid w:val="00DE7937"/>
    <w:rsid w:val="00E024D3"/>
    <w:rsid w:val="00E067FC"/>
    <w:rsid w:val="00E06D33"/>
    <w:rsid w:val="00E22D7D"/>
    <w:rsid w:val="00E24602"/>
    <w:rsid w:val="00E36546"/>
    <w:rsid w:val="00E52EE8"/>
    <w:rsid w:val="00E96DC1"/>
    <w:rsid w:val="00EA67E6"/>
    <w:rsid w:val="00EB7CA9"/>
    <w:rsid w:val="00EC5507"/>
    <w:rsid w:val="00EC6746"/>
    <w:rsid w:val="00ED6C54"/>
    <w:rsid w:val="00F34694"/>
    <w:rsid w:val="00F472E2"/>
    <w:rsid w:val="00F518C5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25595/3446ddfcafad7edd45fa9e4766584f3a09c11d98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://www.consultant.ru/document/cons_doc_LAW_406132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06132/3446ddfcafad7edd45fa9e4766584f3a09c11d98/" TargetMode="External"/><Relationship Id="rId20" Type="http://schemas.openxmlformats.org/officeDocument/2006/relationships/hyperlink" Target="https://www.consultant.ru/document/cons_doc_LAW_425595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06132/3446ddfcafad7edd45fa9e4766584f3a09c11d98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hyperlink" Target="https://www.roseltorg.ru/rates/corp-sa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3C99-F1A5-4331-89A9-23FC645C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13</Pages>
  <Words>4816</Words>
  <Characters>27454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126</cp:revision>
  <cp:lastPrinted>2024-05-16T05:28:00Z</cp:lastPrinted>
  <dcterms:created xsi:type="dcterms:W3CDTF">2023-03-17T04:21:00Z</dcterms:created>
  <dcterms:modified xsi:type="dcterms:W3CDTF">2025-02-18T10:40:00Z</dcterms:modified>
</cp:coreProperties>
</file>