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147796" w:rsidP="007F5DAE">
      <w:pPr>
        <w:pStyle w:val="2"/>
        <w:jc w:val="center"/>
      </w:pPr>
      <w:r>
        <w:t xml:space="preserve">Информационное извещение 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 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Постановление Администрации МО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  <w:r w:rsidR="000D6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Постановление от 11.12.2024 №1047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заключения договора аренды земельного участка».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0D6D3D" w:rsidRPr="000D6D3D" w:rsidTr="00F439A3">
        <w:tc>
          <w:tcPr>
            <w:tcW w:w="813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аукциона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участка</w:t>
            </w:r>
          </w:p>
        </w:tc>
      </w:tr>
      <w:tr w:rsidR="000D6D3D" w:rsidRPr="000D6D3D" w:rsidTr="00F439A3">
        <w:tc>
          <w:tcPr>
            <w:tcW w:w="813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</w:tcPr>
          <w:p w:rsidR="000D6D3D" w:rsidRPr="000D6D3D" w:rsidRDefault="000D6D3D" w:rsidP="000D6D3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Земельный участок, с кадастровым номером 73:04:030157:1017, категории земель: земли населенных пунктов, вид разрешенного использования: объекты гаражного назначения, общая площадь: 30 </w:t>
            </w:r>
            <w:proofErr w:type="spellStart"/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0D6D3D" w:rsidRPr="000D6D3D" w:rsidRDefault="000D6D3D" w:rsidP="000D6D3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г. Инза, ул. Льва Толстого</w:t>
            </w:r>
          </w:p>
        </w:tc>
        <w:tc>
          <w:tcPr>
            <w:tcW w:w="2409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1153,00</w:t>
            </w:r>
          </w:p>
        </w:tc>
        <w:tc>
          <w:tcPr>
            <w:tcW w:w="1701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34,60</w:t>
            </w:r>
          </w:p>
        </w:tc>
        <w:tc>
          <w:tcPr>
            <w:tcW w:w="1560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1153,00</w:t>
            </w:r>
          </w:p>
        </w:tc>
        <w:tc>
          <w:tcPr>
            <w:tcW w:w="1842" w:type="dxa"/>
          </w:tcPr>
          <w:p w:rsidR="000D6D3D" w:rsidRPr="000D6D3D" w:rsidRDefault="000D6D3D" w:rsidP="000D6D3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D6D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лет</w:t>
            </w:r>
          </w:p>
        </w:tc>
      </w:tr>
    </w:tbl>
    <w:p w:rsidR="00174565" w:rsidRDefault="00C55622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55622" w:rsidRDefault="00C55622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4E7008" w:rsidRPr="004E7008">
        <w:rPr>
          <w:rFonts w:ascii="Times New Roman" w:hAnsi="Times New Roman" w:cs="Times New Roman"/>
          <w:bCs/>
          <w:sz w:val="24"/>
          <w:szCs w:val="24"/>
        </w:rPr>
        <w:t>земельный участок относится к землям государственная, собственность на которые не разграничена.</w:t>
      </w:r>
    </w:p>
    <w:p w:rsidR="00C8221E" w:rsidRDefault="00651ECE" w:rsidP="00C8221E">
      <w:pPr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3952">
        <w:rPr>
          <w:rFonts w:ascii="Times New Roman" w:hAnsi="Times New Roman"/>
          <w:sz w:val="24"/>
          <w:szCs w:val="24"/>
        </w:rPr>
        <w:t>торги не проводились</w:t>
      </w:r>
    </w:p>
    <w:p w:rsidR="004852DF" w:rsidRPr="00F518C5" w:rsidRDefault="004852DF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8C5"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993CD2" w:rsidRPr="00993CD2" w:rsidRDefault="00993CD2" w:rsidP="00441C39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Default="00993CD2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93CD2" w:rsidRDefault="00441C39" w:rsidP="00993CD2">
      <w:pPr>
        <w:suppressAutoHyphens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E7008" w:rsidRPr="004E7008" w:rsidRDefault="004E7008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4E7008" w:rsidRPr="004E7008" w:rsidRDefault="004E7008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1.Электроснабжение (ООО «</w:t>
      </w:r>
      <w:proofErr w:type="spellStart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Энергопромгрупп</w:t>
      </w:r>
      <w:proofErr w:type="spellEnd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№1124 от 12.12.2024</w:t>
      </w: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техническая возможность для технологического присоединения </w:t>
      </w:r>
      <w:proofErr w:type="spellStart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к электрическим сетям земельного участка имеется. </w:t>
      </w:r>
    </w:p>
    <w:p w:rsidR="007F5DAE" w:rsidRDefault="007F5DAE" w:rsidP="00C70D53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Техническая возможность для технологического присоединения имеется. </w:t>
      </w:r>
    </w:p>
    <w:p w:rsidR="000D6D3D" w:rsidRPr="000D6D3D" w:rsidRDefault="000D6D3D" w:rsidP="000D6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Предельная свободная мощность существующих сетей - в соответствии с договором технологического присоединения;</w:t>
      </w:r>
    </w:p>
    <w:p w:rsidR="000D6D3D" w:rsidRPr="000D6D3D" w:rsidRDefault="000D6D3D" w:rsidP="000D6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Уровень напряжения </w:t>
      </w: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- 0,4 </w:t>
      </w:r>
      <w:proofErr w:type="spellStart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D6D3D" w:rsidRPr="000D6D3D" w:rsidRDefault="000D6D3D" w:rsidP="007D2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Категория по надежности электроснабжения - III;</w:t>
      </w:r>
    </w:p>
    <w:p w:rsidR="000D6D3D" w:rsidRPr="000D6D3D" w:rsidRDefault="000D6D3D" w:rsidP="007D2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подключения объектов капитального строительства к электрическим сетям </w:t>
      </w: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0D6D3D" w:rsidRPr="000D6D3D" w:rsidRDefault="000D6D3D" w:rsidP="007D2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proofErr w:type="gramEnd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договором технологического присоединения;</w:t>
      </w:r>
    </w:p>
    <w:p w:rsidR="000D6D3D" w:rsidRPr="000D6D3D" w:rsidRDefault="000D6D3D" w:rsidP="007D2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действия технических условий </w:t>
      </w: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- 2 года с момента заключения договора технологического присоединения;</w:t>
      </w:r>
    </w:p>
    <w:p w:rsidR="000D6D3D" w:rsidRPr="000D6D3D" w:rsidRDefault="000D6D3D" w:rsidP="007D2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энергопринимающих</w:t>
      </w:r>
      <w:proofErr w:type="spellEnd"/>
      <w:r w:rsidRPr="000D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устройств</w:t>
      </w:r>
    </w:p>
    <w:p w:rsidR="000D6D3D" w:rsidRPr="000D6D3D" w:rsidRDefault="000D6D3D" w:rsidP="007D2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определяется в соответствии с Приказом Агентства по регулированию цен и тарифов Ульяновской области №97-П от «28» ноября 2023г. «Об утверждении стандартизированных ставок и формул платы за технологическое присоединение к электрическим сетям территориальных сетевых организаций Ульяновской области на 2024 год» и зависит от максимальной мощности и уровня напряжения присоединяемых </w:t>
      </w:r>
      <w:proofErr w:type="spellStart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энергопринимающих</w:t>
      </w:r>
      <w:proofErr w:type="spellEnd"/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устройств.</w:t>
      </w:r>
    </w:p>
    <w:p w:rsidR="000D6D3D" w:rsidRDefault="000D6D3D" w:rsidP="007D21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точная информация будет </w:t>
      </w: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0D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ражена в договоре технологического присоединения, после подачи заявки в наш адрес.</w:t>
      </w:r>
    </w:p>
    <w:p w:rsidR="007D2139" w:rsidRDefault="009F7F03" w:rsidP="007D2139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2.Теплоснабжение (ООО «Кит-Энергия»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№461 от 09.12</w:t>
      </w:r>
      <w:r w:rsidR="00FE7E40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): подключение к центральному отоплению  не представляется возможным, в связи с отсутствием технологической возможности.</w:t>
      </w:r>
    </w:p>
    <w:p w:rsidR="00AA3A39" w:rsidRDefault="009F7F03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3.Водоснабж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ение, водоотведение (ОГКП «Ульяно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вский областной водоканал» от 09.12.2024 №73-ИОГВ -07-ТО-02.05/1997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A3A39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нагрузка подключаемого объекта определяется проектным решением правообладателя земельного участка в пределах свободной мощности сетей.</w:t>
      </w:r>
    </w:p>
    <w:p w:rsidR="00AA3A39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от 30.11.2021г. №2130 Подключение подключаемых объектов к централизованным системам холодного водоснабжения и (или) водоотведения при наличии на день заключения договора о подключении технической возможности подключения осуществляется в срок, который </w:t>
      </w:r>
      <w:proofErr w:type="spellStart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proofErr w:type="spell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превышать 18 месяцев со дня заключения договора о подключении, за исключением случаев, когда более длительные сроки указаны заявителем в заявлении о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подключении или </w:t>
      </w:r>
      <w:proofErr w:type="gramStart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договоре о подключении по соглашению между исполнителем и заявителем.</w:t>
      </w:r>
    </w:p>
    <w:p w:rsidR="00AA3A39" w:rsidRPr="00AA3A39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технических условий па подключение проектируемого объекта к сети водоснабжения и (или) водоотведения правообладателю земельного участка необходимо обратиться в ОГКП «Ульяновский областной водоканал» в производственно-технический отдел с Запросом о выдаче технических условий подключения и требуемыми документами, указанными в п. 14 «Правил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 от 30 ноября 2021 года №2130.</w:t>
      </w:r>
    </w:p>
    <w:p w:rsidR="00AA3A39" w:rsidRPr="00AA3A39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плате за подключение объекта.</w:t>
      </w:r>
    </w:p>
    <w:p w:rsidR="00AA3A39" w:rsidRPr="00AA3A39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централизованной системе водоснабжения и (или) водоотведения указывается в договоре о подключении и рассчитывается ОГКП «Ульяновский областной водоканал» по формуле 50 «Методических указаний по расчету регулируемых тарифов в сфере водоснабжения и водоотведения» (приказ ФСТ России от 27.12.2013г. №1746-э) на основе двух ставок тарифов - ставки тарифа за подключаемую нагрузку сети и ставки тарифов за протяженность сети</w:t>
      </w:r>
      <w:proofErr w:type="gramEnd"/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подключаемой нагрузки абонента и протяженности создаваемой сети от точки подключения к сетям ОГКП «Ульяновский областной водоканал»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земельного участка абонента.</w:t>
      </w:r>
    </w:p>
    <w:p w:rsidR="00AA3A39" w:rsidRPr="00AA3A39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Окончательная стоимость работ по подключению объекта к сетям водоснабжения определяется расчетом с учетом объема водопотребления, протяженности, диаметра подводящего водовода и прописывается в договоре на подключение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(технологическое присоединение)</w:t>
      </w:r>
    </w:p>
    <w:p w:rsidR="00403738" w:rsidRDefault="00AA3A39" w:rsidP="00AA3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технических условий составляет 3 года со дня выдачи. По истечении этого срока параметры выданных технических условий могут быть изменены.</w:t>
      </w:r>
    </w:p>
    <w:p w:rsidR="00AB4BA0" w:rsidRPr="00AB4BA0" w:rsidRDefault="00AB4BA0" w:rsidP="00441C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Газоснабжение (ООО «Газпром газораспределение Ульяновск» филиал в г. Барыш №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1535/02 от 17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.12.2024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подключения имеется.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предполагаемых присоединений, следующие: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нагрузка подключаемого объекта определяется проектным решением заказчика в пределах свободной мощности существующих сетей, </w:t>
      </w:r>
      <w:r w:rsidR="00166DEF">
        <w:rPr>
          <w:rFonts w:ascii="Times New Roman" w:eastAsia="Times New Roman" w:hAnsi="Times New Roman" w:cs="Times New Roman"/>
          <w:sz w:val="24"/>
          <w:szCs w:val="24"/>
          <w:lang w:eastAsia="ru-RU"/>
        </w:rPr>
        <w:t>м3/час –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5,0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подключения объекта капитального строительства к сетям газораспределения: срок подключения (технологического присоединения) к сетям газораспределения объекта капитального строительства определяется готовностью заказчика к данным действиям, но не позднее сроков, определенных Постановлением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технических условий: срок действия технических условий определяется </w:t>
      </w:r>
      <w:proofErr w:type="gramStart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требований</w:t>
      </w:r>
      <w:proofErr w:type="gramEnd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сетям газораспределения: размер платы за технологическое присоединение определяется приказом Агентства по регулированию цен и т</w:t>
      </w:r>
      <w:r w:rsidR="00E067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арифов Ульян</w:t>
      </w:r>
      <w:r w:rsidR="00DE79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овской области от 28.12.2023№342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67FC" w:rsidRDefault="00E067FC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BA0" w:rsidRP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077C25" w:rsidRDefault="00A0615D" w:rsidP="00441C39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Правилам землепользования и застройки муниципального образования «</w:t>
      </w:r>
      <w:proofErr w:type="spellStart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утвержден</w:t>
      </w:r>
      <w:r w:rsidR="00BB67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ым решением совета депутатов МО «</w:t>
      </w:r>
      <w:proofErr w:type="spellStart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от 23.12.2015 №39 (внесены изменения решением Совета депутатов МО «</w:t>
      </w:r>
      <w:proofErr w:type="spellStart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от 25.12.2018 №16) земельный участок распо</w:t>
      </w:r>
      <w:r w:rsidR="00BB678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 в территориаль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зоне </w:t>
      </w:r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Start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застройки </w:t>
      </w:r>
      <w:proofErr w:type="spellStart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среднеэтажными</w:t>
      </w:r>
      <w:proofErr w:type="spellEnd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жилыми домами.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7D2139" w:rsidRPr="007D2139" w:rsidTr="00F439A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разрешенного использования)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строений,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сооружений, за пределами которых запрещено строительство </w:t>
            </w: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зданий,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зданий,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Максимальный процент застройки в границах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земельного участка, которая может быть </w:t>
            </w: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застроена, ко всей площади земельного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архитектурным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решениям объектов капитального строительства, расположенным в границах территории исторического поселения </w:t>
            </w: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федерального или регионального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7D2139" w:rsidRPr="007D2139" w:rsidTr="00F439A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D2139" w:rsidRPr="007D2139" w:rsidTr="00F439A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2139" w:rsidRPr="007D2139" w:rsidRDefault="007D2139" w:rsidP="007D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139" w:rsidRPr="007D2139" w:rsidTr="00F439A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Среднеэтажная</w:t>
            </w:r>
            <w:proofErr w:type="spellEnd"/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жилая застройка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Для индивидуального жилищного строительства;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Приусадебный участок личного подсобного хозяйства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Коммунальное обслуживание 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Магазины 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Обслуживание автотранспорта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Земельные участки (территории) общего пользования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Образование и просвещение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Культурное развитие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Спорт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Объекты гаражного назначения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Малоэтажная  многоквартирная жилая застройка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Блокированная жилая застройка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огородничества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садоводства</w:t>
            </w:r>
          </w:p>
          <w:p w:rsidR="007D2139" w:rsidRPr="007D2139" w:rsidRDefault="007D2139" w:rsidP="007D2139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дачного хозяйства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2.5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2.2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3.1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4.4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4.9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12.0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3.5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3.6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5.1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2.7.1.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2.1.1.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2.3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13.1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13.2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13.3</w:t>
            </w: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1. Минимальная/максимальная площадь земельного участка для ведения личного подсобного хозяйства – 300-2200 </w:t>
            </w:r>
            <w:proofErr w:type="spellStart"/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2.Минимальный/максимальный размер земельного участка для размещения индивидуальных гаражей, автостоянок – 30 кв. м. Размеры земельных участков для </w:t>
            </w:r>
            <w:proofErr w:type="spellStart"/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среднеэтажной</w:t>
            </w:r>
            <w:proofErr w:type="spellEnd"/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жилой застройки определяются в </w:t>
            </w: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соответствии с региональными нормативами градостроительного проектирования.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Минимальная площадь земельного участка – 4 кв. м.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7D213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lastRenderedPageBreak/>
              <w:t xml:space="preserve"> Параметры застройки </w:t>
            </w:r>
            <w:proofErr w:type="spellStart"/>
            <w:r w:rsidRPr="007D213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среднеэтажными</w:t>
            </w:r>
            <w:proofErr w:type="spellEnd"/>
            <w:r w:rsidRPr="007D213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жилыми домами: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Расстояния между домами внутри квартала принимаются в соответствии с нормативами противопожарной безопасности и нормативами инсоляции.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отступ от границы соседнего земельного участка – 3 м.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7D213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Параметры застройки для объектов инженерной инфраструктуры не являющихся линейными: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отступ от границ земельного участка в целях определения мест допустимого размещения объекта – 0,5 м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Максимальное количество этажей – 8.</w:t>
            </w: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Максимальная высота объектов – 40 м.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Этажность – 1 этаж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Максимальный процент застройки – 40 %</w:t>
            </w: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Коэффициент застройки – 80 %.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139" w:rsidRPr="007D2139" w:rsidRDefault="007D2139" w:rsidP="007D2139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D2139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93DE1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lastRenderedPageBreak/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27E8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.12</w:t>
      </w:r>
      <w:r w:rsidR="00C57F8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.2024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C57F88" w:rsidRDefault="008A5A39" w:rsidP="00C57F8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283D65" w:rsidP="00C57F88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427E8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10.02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427E8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12.02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793DE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14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 При этом размер арендной платы по договору аренды определяется в размере, равном начальной цене предмета аукциона.</w:t>
      </w:r>
    </w:p>
    <w:p w:rsidR="00441C39" w:rsidRPr="00C109CC" w:rsidRDefault="004852DF" w:rsidP="00C57F8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27E8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14.02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427E8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13</w:t>
      </w:r>
      <w:bookmarkStart w:id="0" w:name="_GoBack"/>
      <w:bookmarkEnd w:id="0"/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5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6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7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441C39" w:rsidRPr="00441C39" w:rsidRDefault="00D83D90" w:rsidP="00E06D3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>
        <w:rPr>
          <w:rFonts w:ascii="Times New Roman" w:hAnsi="Times New Roman" w:cs="Times New Roman"/>
          <w:color w:val="000000"/>
          <w:sz w:val="24"/>
          <w:szCs w:val="24"/>
        </w:rPr>
        <w:t>ачальной цене предмета аукциона.</w:t>
      </w: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такого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441C39" w:rsidRDefault="00820CE5" w:rsidP="002050D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8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9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20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21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 xml:space="preserve">Плата взимается с Участника аукциона (аренда и продажа земельного участка) — победителя и облагается НДС в размере 20 %, за </w:t>
      </w:r>
      <w:r w:rsidRPr="005E6305">
        <w:rPr>
          <w:rFonts w:ascii="Times New Roman" w:hAnsi="Times New Roman" w:cs="Times New Roman"/>
          <w:sz w:val="24"/>
          <w:szCs w:val="24"/>
        </w:rPr>
        <w:lastRenderedPageBreak/>
        <w:t>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2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B1" w:rsidRDefault="00584AB1" w:rsidP="008B3952">
      <w:pPr>
        <w:spacing w:after="0" w:line="240" w:lineRule="auto"/>
      </w:pPr>
      <w:r>
        <w:separator/>
      </w:r>
    </w:p>
  </w:endnote>
  <w:endnote w:type="continuationSeparator" w:id="0">
    <w:p w:rsidR="00584AB1" w:rsidRDefault="00584AB1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B1" w:rsidRDefault="00584AB1" w:rsidP="008B3952">
      <w:pPr>
        <w:spacing w:after="0" w:line="240" w:lineRule="auto"/>
      </w:pPr>
      <w:r>
        <w:separator/>
      </w:r>
    </w:p>
  </w:footnote>
  <w:footnote w:type="continuationSeparator" w:id="0">
    <w:p w:rsidR="00584AB1" w:rsidRDefault="00584AB1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361C"/>
    <w:rsid w:val="000D27D1"/>
    <w:rsid w:val="000D6D3D"/>
    <w:rsid w:val="00124A15"/>
    <w:rsid w:val="00135A7C"/>
    <w:rsid w:val="00147796"/>
    <w:rsid w:val="00166DEF"/>
    <w:rsid w:val="00174565"/>
    <w:rsid w:val="0018082F"/>
    <w:rsid w:val="001C7F30"/>
    <w:rsid w:val="001F3BAC"/>
    <w:rsid w:val="002050DF"/>
    <w:rsid w:val="0020735B"/>
    <w:rsid w:val="002321E4"/>
    <w:rsid w:val="0023678C"/>
    <w:rsid w:val="00265F3D"/>
    <w:rsid w:val="00283D65"/>
    <w:rsid w:val="002938A5"/>
    <w:rsid w:val="00323415"/>
    <w:rsid w:val="0033219D"/>
    <w:rsid w:val="00337D0A"/>
    <w:rsid w:val="00390470"/>
    <w:rsid w:val="003B0E9D"/>
    <w:rsid w:val="003B7AA9"/>
    <w:rsid w:val="003E2772"/>
    <w:rsid w:val="003E298C"/>
    <w:rsid w:val="003F65EC"/>
    <w:rsid w:val="00403738"/>
    <w:rsid w:val="00426953"/>
    <w:rsid w:val="00427E8C"/>
    <w:rsid w:val="00441C39"/>
    <w:rsid w:val="004852DF"/>
    <w:rsid w:val="004C133A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AB1"/>
    <w:rsid w:val="005D06A1"/>
    <w:rsid w:val="005E6305"/>
    <w:rsid w:val="005E73D0"/>
    <w:rsid w:val="00612FC2"/>
    <w:rsid w:val="00651ECE"/>
    <w:rsid w:val="006923AE"/>
    <w:rsid w:val="006C0639"/>
    <w:rsid w:val="00703FEC"/>
    <w:rsid w:val="00707C18"/>
    <w:rsid w:val="00756337"/>
    <w:rsid w:val="00780C58"/>
    <w:rsid w:val="007811D6"/>
    <w:rsid w:val="00793DE1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9076FD"/>
    <w:rsid w:val="009116C7"/>
    <w:rsid w:val="0097475E"/>
    <w:rsid w:val="009776B2"/>
    <w:rsid w:val="00986139"/>
    <w:rsid w:val="00993CD2"/>
    <w:rsid w:val="009C271C"/>
    <w:rsid w:val="009F7F03"/>
    <w:rsid w:val="00A01389"/>
    <w:rsid w:val="00A02D2F"/>
    <w:rsid w:val="00A0615D"/>
    <w:rsid w:val="00A30306"/>
    <w:rsid w:val="00A4756E"/>
    <w:rsid w:val="00A9069D"/>
    <w:rsid w:val="00AA20FF"/>
    <w:rsid w:val="00AA3A39"/>
    <w:rsid w:val="00AB4BA0"/>
    <w:rsid w:val="00AC1AAF"/>
    <w:rsid w:val="00AE77E3"/>
    <w:rsid w:val="00B559D2"/>
    <w:rsid w:val="00B742F7"/>
    <w:rsid w:val="00B74410"/>
    <w:rsid w:val="00B909A9"/>
    <w:rsid w:val="00BB678A"/>
    <w:rsid w:val="00BE258C"/>
    <w:rsid w:val="00C109CC"/>
    <w:rsid w:val="00C268C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83D90"/>
    <w:rsid w:val="00D95B9A"/>
    <w:rsid w:val="00D969C3"/>
    <w:rsid w:val="00DB269C"/>
    <w:rsid w:val="00DD0C2D"/>
    <w:rsid w:val="00DD0FF1"/>
    <w:rsid w:val="00DE7937"/>
    <w:rsid w:val="00E024D3"/>
    <w:rsid w:val="00E067FC"/>
    <w:rsid w:val="00E06D33"/>
    <w:rsid w:val="00E22D7D"/>
    <w:rsid w:val="00E36546"/>
    <w:rsid w:val="00E52EE8"/>
    <w:rsid w:val="00E96DC1"/>
    <w:rsid w:val="00EA67E6"/>
    <w:rsid w:val="00EB7CA9"/>
    <w:rsid w:val="00EC5507"/>
    <w:rsid w:val="00EC6746"/>
    <w:rsid w:val="00ED6C54"/>
    <w:rsid w:val="00F472E2"/>
    <w:rsid w:val="00F518C5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://www.consultant.ru/document/cons_doc_LAW_406132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6132/3446ddfcafad7edd45fa9e4766584f3a09c11d98/" TargetMode="External"/><Relationship Id="rId20" Type="http://schemas.openxmlformats.org/officeDocument/2006/relationships/hyperlink" Target="https://www.consultant.ru/document/cons_doc_LAW_425595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hyperlink" Target="https://www.roseltorg.ru/rates/corp-sa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92E6-7420-40D4-BC89-0260DDF6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14</Pages>
  <Words>5399</Words>
  <Characters>30777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115</cp:revision>
  <cp:lastPrinted>2024-05-16T05:28:00Z</cp:lastPrinted>
  <dcterms:created xsi:type="dcterms:W3CDTF">2023-03-17T04:21:00Z</dcterms:created>
  <dcterms:modified xsi:type="dcterms:W3CDTF">2024-12-18T06:30:00Z</dcterms:modified>
</cp:coreProperties>
</file>