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A305E4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 извещение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9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0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1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2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</w:t>
      </w:r>
      <w:r w:rsidR="00692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от 23.01.2025 №31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заключения договора аренды земельного участка».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p w:rsidR="00202BFF" w:rsidRPr="00174565" w:rsidRDefault="00202BFF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5040CE" w:rsidRPr="003A36E8" w:rsidTr="00F433B0">
        <w:tc>
          <w:tcPr>
            <w:tcW w:w="813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цена предмета </w:t>
            </w: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аукциона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аукциона, в </w:t>
            </w: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560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Размер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задатка, в </w:t>
            </w: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842" w:type="dxa"/>
          </w:tcPr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земельного</w:t>
            </w:r>
          </w:p>
          <w:p w:rsidR="005040CE" w:rsidRPr="003A36E8" w:rsidRDefault="005040CE" w:rsidP="005040C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36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  <w:bookmarkStart w:id="0" w:name="_GoBack"/>
        <w:bookmarkEnd w:id="0"/>
      </w:tr>
      <w:tr w:rsidR="00692D3C" w:rsidRPr="003A36E8" w:rsidTr="00F433B0">
        <w:tc>
          <w:tcPr>
            <w:tcW w:w="813" w:type="dxa"/>
          </w:tcPr>
          <w:p w:rsidR="00692D3C" w:rsidRPr="003A36E8" w:rsidRDefault="00692D3C" w:rsidP="00AC4760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A36E8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</w:tcPr>
          <w:p w:rsidR="00692D3C" w:rsidRPr="003A36E8" w:rsidRDefault="00692D3C" w:rsidP="00AC47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A36E8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73:04:030110:774, категории земель: земли населенных пунктов, вид разрешенного использования: гостиничное обслуживание, общая площадь: 5688 </w:t>
            </w:r>
            <w:proofErr w:type="spellStart"/>
            <w:r w:rsidRPr="003A36E8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3A36E8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2D3C" w:rsidRPr="003A36E8" w:rsidRDefault="00692D3C" w:rsidP="00AC4760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A36E8">
              <w:rPr>
                <w:rFonts w:ascii="PT Astra Serif" w:hAnsi="PT Astra Serif"/>
                <w:sz w:val="24"/>
                <w:szCs w:val="24"/>
              </w:rPr>
              <w:t xml:space="preserve">Российская Федерация, Ульяновская область, </w:t>
            </w:r>
            <w:proofErr w:type="spellStart"/>
            <w:r w:rsidRPr="003A36E8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3A36E8">
              <w:rPr>
                <w:rFonts w:ascii="PT Astra Serif" w:hAnsi="PT Astra Serif"/>
                <w:sz w:val="24"/>
                <w:szCs w:val="24"/>
              </w:rPr>
              <w:t xml:space="preserve"> район, МО «</w:t>
            </w:r>
            <w:proofErr w:type="spellStart"/>
            <w:r w:rsidRPr="003A36E8">
              <w:rPr>
                <w:rFonts w:ascii="PT Astra Serif" w:hAnsi="PT Astra Serif"/>
                <w:sz w:val="24"/>
                <w:szCs w:val="24"/>
              </w:rPr>
              <w:t>Инзенское</w:t>
            </w:r>
            <w:proofErr w:type="spellEnd"/>
            <w:r w:rsidRPr="003A36E8">
              <w:rPr>
                <w:rFonts w:ascii="PT Astra Serif" w:hAnsi="PT Astra Serif"/>
                <w:sz w:val="24"/>
                <w:szCs w:val="24"/>
              </w:rPr>
              <w:t xml:space="preserve"> городское поселение», г. Инза </w:t>
            </w:r>
          </w:p>
        </w:tc>
        <w:tc>
          <w:tcPr>
            <w:tcW w:w="2409" w:type="dxa"/>
          </w:tcPr>
          <w:p w:rsidR="00692D3C" w:rsidRPr="003A36E8" w:rsidRDefault="00692D3C" w:rsidP="00AC4760">
            <w:pPr>
              <w:tabs>
                <w:tab w:val="left" w:pos="5355"/>
              </w:tabs>
              <w:jc w:val="center"/>
              <w:rPr>
                <w:sz w:val="24"/>
                <w:szCs w:val="24"/>
              </w:rPr>
            </w:pPr>
            <w:r w:rsidRPr="003A36E8">
              <w:rPr>
                <w:sz w:val="24"/>
                <w:szCs w:val="24"/>
              </w:rPr>
              <w:t>142585,23</w:t>
            </w:r>
          </w:p>
        </w:tc>
        <w:tc>
          <w:tcPr>
            <w:tcW w:w="1701" w:type="dxa"/>
          </w:tcPr>
          <w:p w:rsidR="00692D3C" w:rsidRPr="003A36E8" w:rsidRDefault="00692D3C" w:rsidP="00AC4760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A36E8">
              <w:rPr>
                <w:rFonts w:ascii="PT Astra Serif" w:hAnsi="PT Astra Serif"/>
                <w:sz w:val="24"/>
                <w:szCs w:val="24"/>
              </w:rPr>
              <w:t>4277,55</w:t>
            </w:r>
          </w:p>
        </w:tc>
        <w:tc>
          <w:tcPr>
            <w:tcW w:w="1560" w:type="dxa"/>
          </w:tcPr>
          <w:p w:rsidR="00692D3C" w:rsidRPr="003A36E8" w:rsidRDefault="00692D3C" w:rsidP="00AC4760">
            <w:pPr>
              <w:jc w:val="center"/>
              <w:rPr>
                <w:sz w:val="24"/>
                <w:szCs w:val="24"/>
              </w:rPr>
            </w:pPr>
            <w:r w:rsidRPr="003A36E8">
              <w:rPr>
                <w:sz w:val="24"/>
                <w:szCs w:val="24"/>
              </w:rPr>
              <w:t>142585,23</w:t>
            </w:r>
          </w:p>
        </w:tc>
        <w:tc>
          <w:tcPr>
            <w:tcW w:w="1842" w:type="dxa"/>
          </w:tcPr>
          <w:p w:rsidR="00692D3C" w:rsidRPr="003A36E8" w:rsidRDefault="00692D3C" w:rsidP="00AC4760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A36E8">
              <w:rPr>
                <w:rFonts w:ascii="PT Astra Serif" w:hAnsi="PT Astra Serif"/>
                <w:sz w:val="24"/>
                <w:szCs w:val="24"/>
              </w:rPr>
              <w:t>5 лет</w:t>
            </w:r>
          </w:p>
        </w:tc>
      </w:tr>
    </w:tbl>
    <w:p w:rsidR="00174565" w:rsidRDefault="00174565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40CE" w:rsidRPr="005040CE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5040CE">
        <w:rPr>
          <w:rFonts w:ascii="Times New Roman" w:hAnsi="Times New Roman" w:cs="Times New Roman"/>
          <w:bCs/>
          <w:sz w:val="24"/>
          <w:szCs w:val="24"/>
        </w:rPr>
        <w:t>земельный участок находится в муниципальной собственности</w:t>
      </w:r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1774" w:rsidRPr="004C1774">
        <w:rPr>
          <w:rFonts w:ascii="Times New Roman" w:hAnsi="Times New Roman" w:cs="Times New Roman"/>
          <w:b/>
          <w:bCs/>
          <w:sz w:val="24"/>
          <w:szCs w:val="24"/>
        </w:rPr>
        <w:t>участниками аукциона могут быть только субъекты малого и среднего предпринимательства, отвечающие критериям отнесения к числу субъектов малого и среднего предпринимательства в соответствии с Федеральным законом от 24.07.2007 N 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за исключением субъектов малого и среднего предпринимательства, указанных</w:t>
      </w:r>
      <w:proofErr w:type="gramEnd"/>
      <w:r w:rsidR="004C1774" w:rsidRPr="004C1774">
        <w:rPr>
          <w:rFonts w:ascii="Times New Roman" w:hAnsi="Times New Roman" w:cs="Times New Roman"/>
          <w:b/>
          <w:bCs/>
          <w:sz w:val="24"/>
          <w:szCs w:val="24"/>
        </w:rPr>
        <w:t xml:space="preserve"> в части 3 статьи 14 Федерального закона от 24.07.2007 № 209-ФЗ «О развитии малого и среднего предпринимательства в Российской Федерации».</w:t>
      </w:r>
    </w:p>
    <w:p w:rsidR="00993CD2" w:rsidRPr="00993CD2" w:rsidRDefault="00993CD2" w:rsidP="00441C39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Default="00993CD2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B41190" w:rsidRDefault="00B41190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41190" w:rsidRDefault="00B41190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Сведения о ранее проведенных торгах: торги не проводились.</w:t>
      </w:r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4E7008" w:rsidRDefault="004E7008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1.Электр</w:t>
      </w:r>
      <w:r w:rsidR="004C1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оснабжение (ООО «</w:t>
      </w:r>
      <w:proofErr w:type="spellStart"/>
      <w:r w:rsidR="004C1774">
        <w:rPr>
          <w:rFonts w:ascii="Times New Roman" w:eastAsia="Times New Roman" w:hAnsi="Times New Roman" w:cs="Times New Roman"/>
          <w:sz w:val="24"/>
          <w:szCs w:val="24"/>
          <w:lang w:eastAsia="ru-RU"/>
        </w:rPr>
        <w:t>Эн</w:t>
      </w:r>
      <w:r w:rsidR="005040C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ергопропгрупп</w:t>
      </w:r>
      <w:proofErr w:type="spellEnd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04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№1035 от 15.11</w:t>
      </w:r>
      <w:r w:rsid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</w:p>
    <w:p w:rsidR="005040CE" w:rsidRDefault="005040CE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технологического присоединения имеется.</w:t>
      </w:r>
    </w:p>
    <w:p w:rsidR="005040CE" w:rsidRDefault="005040CE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предполагаемых присоединений и срок подключения объектов капитального строительства к электрическим сетям будут определены в соответствии с договором технологического присоединения;</w:t>
      </w:r>
    </w:p>
    <w:p w:rsidR="005040CE" w:rsidRDefault="005040CE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действия технических условий: 2 года с момента заключения договора технологического присоединения</w:t>
      </w:r>
    </w:p>
    <w:p w:rsidR="005040CE" w:rsidRPr="002966F7" w:rsidRDefault="005040CE" w:rsidP="005040CE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определяется в соответствии с Приказом </w:t>
      </w:r>
      <w:proofErr w:type="spellStart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Агенства</w:t>
      </w:r>
      <w:proofErr w:type="spellEnd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регулированию цен и тарифов Ульяновской области №97-П от 28.11.2023 и зависит от максимальной мощности присоединяемых </w:t>
      </w:r>
      <w:proofErr w:type="spellStart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</w:p>
    <w:p w:rsidR="004C1774" w:rsidRPr="009F7F03" w:rsidRDefault="009F7F03" w:rsidP="00C13265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2.Теплоснабжение (ООО «Кит-Энергия»</w:t>
      </w:r>
      <w:r w:rsidR="0020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№18 от 14.01.2025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): подключение к центральному отоплению  не представляется возможным, в связи с отсутствием технологической возможности.</w:t>
      </w:r>
    </w:p>
    <w:p w:rsidR="00200577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3.Водоснабж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ение, водоотведение (ОГКП «Ульяновский областной водоканал» от 14.01.2025 №73-ИОГВ -07-ТО-02.01/28исх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00577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нагрузка подключаемого объекта определяется проектным решением правообладателя земельного участка в пределах свободной мощности сетей.</w:t>
      </w:r>
    </w:p>
    <w:p w:rsidR="00200577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от 30.11.2021г. №2130 Подключение подключаемых объектов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осуществляется в срок, который </w:t>
      </w:r>
      <w:proofErr w:type="spellStart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proofErr w:type="spell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превышать 18 месяцев со дня заключения договора о подключении, за исключением случаев, когда более длительные сроки указаны заявителем в заявлении о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подключении или </w:t>
      </w:r>
      <w:proofErr w:type="gramStart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договоре о подключении по соглашению между исполнителем и заявителем.</w:t>
      </w:r>
    </w:p>
    <w:p w:rsidR="00200577" w:rsidRPr="00AA3A39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технических условий па подключение проектируемого объекта к сети водоснабжения и (или) водоотведения правообладателю земельного участка необходимо обратиться в ОГКП «Ульяновский областной водоканал» в производственно-технический отдел с Запросом о выдаче технических условий подключения и требуемыми документами, указанными в п. 14 «Правил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 от 30 ноября 2021 года №2130.</w:t>
      </w:r>
    </w:p>
    <w:p w:rsidR="00200577" w:rsidRPr="00AA3A39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плате за подключение объекта.</w:t>
      </w:r>
    </w:p>
    <w:p w:rsidR="00200577" w:rsidRDefault="00200577" w:rsidP="0020057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центральной системе водоснабжения и (или водоотведения указывается в договоре о подключении и рассчитывается ОГКП «Ульяновский областной водоканал» по формуле 50 Методических указаний по расчету регулируемых тарифов в сфере водоснабжения и водоотведения (приказ ФСТ России от 27.12.2023 №1746-э).</w:t>
      </w:r>
      <w:proofErr w:type="gramEnd"/>
    </w:p>
    <w:p w:rsidR="00AB4BA0" w:rsidRPr="00AB4BA0" w:rsidRDefault="00AB4BA0" w:rsidP="00441C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Газоснабжение (ООО «Газпром газораспределение Ульяновск» филиал в г. Барыш №</w:t>
      </w:r>
      <w:r w:rsidR="00692D3C">
        <w:rPr>
          <w:rFonts w:ascii="Times New Roman" w:eastAsia="Times New Roman" w:hAnsi="Times New Roman" w:cs="Times New Roman"/>
          <w:sz w:val="24"/>
          <w:szCs w:val="24"/>
          <w:lang w:eastAsia="ru-RU"/>
        </w:rPr>
        <w:t>18/02 от 16.01.2025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C13265" w:rsidRPr="00281D69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подключения имеется.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предполагаемых присоединений, следующие: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нагрузка подключаемого объекта определяется проектным решением заказчика в пределах свободной мощности существующих сетей, </w:t>
      </w:r>
      <w:r w:rsidR="00692D3C">
        <w:rPr>
          <w:rFonts w:ascii="Times New Roman" w:eastAsia="Times New Roman" w:hAnsi="Times New Roman" w:cs="Times New Roman"/>
          <w:sz w:val="24"/>
          <w:szCs w:val="24"/>
          <w:lang w:eastAsia="ru-RU"/>
        </w:rPr>
        <w:t>м3/час – не более 7</w:t>
      </w:r>
      <w:r w:rsid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AF16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подключения объекта капитального строительства к сетям газораспределения: срок подключения (технологического присоединения) к сетям газораспределения объекта капитального строительства определяется готовностью заказчика к данным действиям, но не позднее сроков, определенных Постановлением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 РФ №1547 от 13.09.2021.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технических условий: срок действия технических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условий определяется </w:t>
      </w:r>
      <w:proofErr w:type="gramStart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требований</w:t>
      </w:r>
      <w:proofErr w:type="gramEnd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сетям газораспределения: размер платы за технологическое присоединение определяется приказом Агентства по регулированию цен и т</w:t>
      </w:r>
      <w:r w:rsid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арифов Ульяновской области от </w:t>
      </w:r>
      <w:r w:rsidR="00692D3C">
        <w:rPr>
          <w:rFonts w:ascii="Times New Roman" w:eastAsia="Times New Roman" w:hAnsi="Times New Roman" w:cs="Times New Roman"/>
          <w:sz w:val="24"/>
          <w:szCs w:val="24"/>
          <w:lang w:eastAsia="ru-RU"/>
        </w:rPr>
        <w:t>23.12.2024№306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="00281D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6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(необходимо письменное согласия владельца газопровода на подключение).</w:t>
      </w:r>
    </w:p>
    <w:p w:rsidR="00AB4BA0" w:rsidRP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DD066C" w:rsidRPr="00DD066C" w:rsidRDefault="00A0615D" w:rsidP="00DD066C">
      <w:pPr>
        <w:tabs>
          <w:tab w:val="left" w:pos="825"/>
        </w:tabs>
        <w:autoSpaceDE w:val="0"/>
        <w:snapToGrid w:val="0"/>
        <w:spacing w:after="0" w:line="240" w:lineRule="auto"/>
        <w:ind w:right="-284"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</w:t>
      </w:r>
      <w:proofErr w:type="spellStart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утвержденым</w:t>
      </w:r>
      <w:proofErr w:type="spellEnd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совета депутатов МО «</w:t>
      </w:r>
      <w:proofErr w:type="spellStart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25.12.2018 №</w:t>
      </w:r>
      <w:proofErr w:type="gramStart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</w:t>
      </w:r>
      <w:proofErr w:type="gramEnd"/>
      <w:r w:rsidR="00077C25" w:rsidRPr="00C12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распо</w:t>
      </w:r>
      <w:r w:rsidR="00DD066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 в территориальной зоне «О</w:t>
      </w:r>
      <w:r w:rsidR="00281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DD066C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«Зона делового, общественного, коммерческого, социально-бытового назначения и предпринимательства</w:t>
      </w:r>
      <w:r w:rsidR="00B40A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12073" w:rsidRDefault="00B40A2B" w:rsidP="00B40A2B">
      <w:pPr>
        <w:tabs>
          <w:tab w:val="left" w:pos="360"/>
        </w:tabs>
        <w:autoSpaceDE w:val="0"/>
        <w:snapToGrid w:val="0"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>(градостроительный план участка размещен в составе документов лота)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0D2CA8" w:rsidRPr="000D2CA8" w:rsidTr="000141B8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разрешенного использования)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строений,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Максимальный процент застройки в границах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капитального строительства, расположенным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0D2CA8" w:rsidRPr="000D2CA8" w:rsidTr="000141B8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2CA8" w:rsidRPr="000D2CA8" w:rsidTr="000141B8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Ширина, 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2CA8" w:rsidRPr="000D2CA8" w:rsidRDefault="000D2CA8" w:rsidP="000D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CA8" w:rsidRPr="000D2CA8" w:rsidTr="000141B8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spellStart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Среднеэтажная</w:t>
            </w:r>
            <w:proofErr w:type="spellEnd"/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жилая застройка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Коммунальное обслуживание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обслуживание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Бытовое обслуживание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Здравоохранение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Образование и просвещение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Культурное развитие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Религиозное использование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Общественное управление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научной деятельности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Деловое управление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Торговые центры (торгово-развлекательные центры)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Рынки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Магазины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Банковская и страховая деятельность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Общественное питание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Гостиничное обслуживание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Развлечения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Обслуживание автотранспорта 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Спорт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внутреннего правопорядка 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Историческая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Земельные участки (территории) общего пользования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Отдых (рекреация)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Малоэтажная  многоквартирная жилая застройка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Блокированная жилая застройка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Объекты гаражного назначения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жилой застройки</w:t>
            </w: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116"/>
              </w:tabs>
              <w:autoSpaceDE w:val="0"/>
              <w:snapToGrid w:val="0"/>
              <w:spacing w:after="0" w:line="0" w:lineRule="atLeast"/>
              <w:ind w:right="3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2.5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3.1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3.2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3.3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3.4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3.5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3.6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3.7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3.8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3.9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4.1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4.2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  <w:t>4.3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4.4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4.5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4.6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4.7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4.8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4.9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  <w:t xml:space="preserve"> 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5.1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8.3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  <w:t xml:space="preserve"> 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9.3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12.0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5.0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  <w:t>2.1.1.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2.3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2.7.1.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2.7</w:t>
            </w: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ind w:left="360" w:hanging="360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lastRenderedPageBreak/>
              <w:t>без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ind w:left="360" w:hanging="360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ограни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proofErr w:type="spellStart"/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чений</w:t>
            </w:r>
            <w:proofErr w:type="spellEnd"/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 xml:space="preserve">Минимальная ширина земельных участков </w:t>
            </w: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lastRenderedPageBreak/>
              <w:t>вдоль фронта улицы (проезда) – 12 м;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Минимальная площадь земельных участков – 200 </w:t>
            </w:r>
            <w:proofErr w:type="spell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кв</w:t>
            </w:r>
            <w:proofErr w:type="gram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.Минимальный отступ от границ соседнего участка до общественного здания – 3 м;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Минималь-ная</w:t>
            </w:r>
            <w:proofErr w:type="spellEnd"/>
            <w:proofErr w:type="gram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/максимальная площадь земель-</w:t>
            </w:r>
            <w:proofErr w:type="spell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</w:t>
            </w:r>
            <w:proofErr w:type="spell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участка – 50-500 кв. м.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Минимальная площадь земельного участка – 500 </w:t>
            </w:r>
            <w:proofErr w:type="spell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Минимальная площадь земельного участка – 150 </w:t>
            </w:r>
            <w:proofErr w:type="spellStart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Минимальная площадь земельного участка – 4 кв. м.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Параметры застройки для </w:t>
            </w: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объектов инфраструктуры: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Минимальный/максимальный размер земельного участка для размещения индивидуальных гаражей, автостоянок – 30-300 кв. м.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Параметры застройки объектов административно-делового и социально-бытового назначения: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Минимальный отступ строений для общественных зданий от передней границы участка </w:t>
            </w: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(в случае, если иной показатель не установлен линией регулирования застройки) – 3 м;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При размещении строений должны соблюдаться нормативные противопожарные расстояния между постройками, расположенными на соседних земельных участках. Допускается блокировка хозяйственных построек на смежных земельных участках по взаимному согласию их собственников, а также блокировка хозяйственных построек к основному строению.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застройки объектов торгового назначения: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Минимальные отступы от границ земельного участка в целях определения мест допустимого размещения зданий – 1 м.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Вышеперечисленные предлагаемые параметры не распространяются на объекты инженерной инфраструктуры.  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застройки объектов культурно-досугового назначения: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Минимальные отступы от границ земельного участка в целях определения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 допустимого размещения зданий – 2 м.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Минимальное расстояние от учебных корпусов до проезжей части </w:t>
            </w:r>
            <w:proofErr w:type="spellStart"/>
            <w:proofErr w:type="gramStart"/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скорост-ных</w:t>
            </w:r>
            <w:proofErr w:type="spellEnd"/>
            <w:proofErr w:type="gramEnd"/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магистральных улиц </w:t>
            </w: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непрерывного движения – 50 м; до проезжей части улиц и дорог местного значения – 25 м.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Вышеперечисленные предлагаемые параметры не распространяются на объекты инженерной инфраструктуры.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Параметры застройки объектов учебно-образовательного назначения: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Минимальное расстояние от корпусов до проезжей части скоростных и магистральных улиц непрерывного движения – 50 м; от корпусов до красной линии застройки – 25 м.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Минимальные отступы от границ земельного участка в целях определения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мест допустимого размещения зданий – 2 м.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Вышеперечисленные предлагаемые параметры не распространяются на объекты инженерной инфраструктуры.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застройки для объектов инженерной инфраструктуры, не являющихся линейными: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Минимальные отступы от границ земельного участка в целях определения мест допустимого размещения объекта – 0,5 м.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Максимальное количество этажей зданий – 5;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lastRenderedPageBreak/>
              <w:t xml:space="preserve"> Максимальная высота зданий от уровня земли до верха перекрытия последнего этажа – 16 м;</w:t>
            </w: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зданий – 3 этажа.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Высота зданий: для всех основных строений количество наземных этажей – до 9; высота от уровня земли до верха кровли – не более 36 м.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Высота зданий: для всех основных строений количество наземных этажей – до 5; высота от уровня земли до верха кровли – не более 16 м.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объектов – 70 м.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Этажность – не более 1 этажа.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Процент застройки территории – 70 %;</w:t>
            </w:r>
          </w:p>
          <w:p w:rsidR="000D2CA8" w:rsidRPr="000D2CA8" w:rsidRDefault="000D2CA8" w:rsidP="000D2CA8">
            <w:pPr>
              <w:spacing w:after="0" w:line="240" w:lineRule="auto"/>
              <w:ind w:left="41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 xml:space="preserve"> Коэффициент озеленения – не менее 15% территории;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Площадь территории, предназначенной для организации проездов и хранения транспортных средств не более 15% от площади земельного участка;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 Требования к ограждению земельных участков: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ограждения со стороны улиц должны выполняться в соответствии  с проектом, согласованным органом, уполномоченным в области архитектуры и градостроительства;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 высота ограждения земельных участков должна быть не более 2 метров;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 xml:space="preserve">- ограждения между смежными земельными участками должны быть </w:t>
            </w: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lastRenderedPageBreak/>
              <w:t>проветриваемыми на высоту не менее 0,15 м от уровня земли;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 характер ограждения и его высота со стороны улиц должны быть единообразными как минимум на протяжении одного квартала с обеих сторон улицы.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Процент застройки территории – не более 80%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0D2CA8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Коэффициент озеленения территории – не менее 5%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 территорий, предназначенных для организации проездов и хранения транспортных средств – не менее 15%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Процент застройки территории – не более 50 %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Площадь озеленения земельных участков – не менее 35% территории.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Площадь территорий, предназначенных для организации проездов и хранения транспортных средств – не менее 15%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Процент застройки территории – не более 60%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 Площадь озеленения земельных участков – не менее 30% территории.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3. Площадь территорий, предназначенных для организации </w:t>
            </w: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проездов и хранения транспортных средств – не менее 20% от площади земельного участка.</w:t>
            </w: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0D2CA8" w:rsidRPr="000D2CA8" w:rsidRDefault="000D2CA8" w:rsidP="000D2CA8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0D2CA8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Процент застройки – 80%.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CA8" w:rsidRPr="000D2CA8" w:rsidRDefault="000D2CA8" w:rsidP="000D2CA8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</w:tbl>
    <w:p w:rsidR="000D2CA8" w:rsidRPr="00471A08" w:rsidRDefault="000D2CA8" w:rsidP="00B40A2B">
      <w:pPr>
        <w:tabs>
          <w:tab w:val="left" w:pos="360"/>
        </w:tabs>
        <w:autoSpaceDE w:val="0"/>
        <w:snapToGrid w:val="0"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</w:p>
    <w:p w:rsidR="004F5DB1" w:rsidRDefault="004F5DB1" w:rsidP="00D47B8A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ED40CE" w:rsidRPr="00ED40CE" w:rsidRDefault="00ED40CE" w:rsidP="00ED40CE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Ограничения (обременения):</w:t>
      </w:r>
      <w:r w:rsidRPr="00ED40CE">
        <w:t xml:space="preserve"> </w:t>
      </w:r>
      <w:r w:rsidRPr="00ED40CE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вид ограничения (обременения): </w:t>
      </w:r>
      <w:r w:rsidR="00DD066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не </w:t>
      </w:r>
      <w:proofErr w:type="spellStart"/>
      <w:r w:rsidR="00DD066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зарегистрированно</w:t>
      </w:r>
      <w:proofErr w:type="spellEnd"/>
    </w:p>
    <w:p w:rsidR="00ED40CE" w:rsidRDefault="00ED40CE" w:rsidP="00ED40CE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6075D7" w:rsidRPr="00441C39" w:rsidRDefault="006075D7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proofErr w:type="gramStart"/>
      <w:r w:rsidRPr="006075D7">
        <w:rPr>
          <w:rFonts w:ascii="Times New Roman" w:hAnsi="Times New Roman" w:cs="Times New Roman"/>
          <w:bCs/>
          <w:color w:val="00000A"/>
          <w:sz w:val="24"/>
          <w:szCs w:val="24"/>
        </w:rPr>
        <w:t>Заявители 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закона от 24 июля 2007 года N 209-ФЗ "О развитии малого и среднего предпринимательства в Российской Федерации", либо заявляют о своем соответствии условиям отнесения к субъектам малого и</w:t>
      </w:r>
      <w:proofErr w:type="gramEnd"/>
      <w:r w:rsidRPr="006075D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среднего предпринимательства в соответствии с частью 5 статьи 4 указанного Федерального закона.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2D1D0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24.01.2025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8A5A39" w:rsidRPr="00707C18" w:rsidRDefault="008A5A39" w:rsidP="00707C1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441C39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283D65" w:rsidRPr="00390470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2D1D0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24.02.2025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441C39" w:rsidRDefault="00441C39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2D1D0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25.02.2025 в 10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852DF" w:rsidRDefault="004852DF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Pr="00C109CC" w:rsidRDefault="00441C39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2D1D0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26.02.2025</w:t>
      </w:r>
      <w:r w:rsidR="00720C1A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10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3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4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5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D83D90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начальной цене предмета аукциона.</w:t>
      </w:r>
    </w:p>
    <w:p w:rsidR="00441C39" w:rsidRPr="00441C39" w:rsidRDefault="00441C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C666ED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41C39" w:rsidRDefault="00441C39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lastRenderedPageBreak/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Default="004E606E" w:rsidP="005E630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281D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1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77C25"/>
    <w:rsid w:val="0008361C"/>
    <w:rsid w:val="000901AE"/>
    <w:rsid w:val="000D27D1"/>
    <w:rsid w:val="000D2CA8"/>
    <w:rsid w:val="00124A15"/>
    <w:rsid w:val="00135A7C"/>
    <w:rsid w:val="00174565"/>
    <w:rsid w:val="0018082F"/>
    <w:rsid w:val="00200577"/>
    <w:rsid w:val="00202BFF"/>
    <w:rsid w:val="00265F3D"/>
    <w:rsid w:val="00281D69"/>
    <w:rsid w:val="00283D65"/>
    <w:rsid w:val="002938A5"/>
    <w:rsid w:val="002966F7"/>
    <w:rsid w:val="002D1D01"/>
    <w:rsid w:val="0030611E"/>
    <w:rsid w:val="00390470"/>
    <w:rsid w:val="003A36E8"/>
    <w:rsid w:val="003B0E9D"/>
    <w:rsid w:val="003B1B0C"/>
    <w:rsid w:val="003B7AA9"/>
    <w:rsid w:val="003F65EC"/>
    <w:rsid w:val="004249F1"/>
    <w:rsid w:val="00426953"/>
    <w:rsid w:val="00441C39"/>
    <w:rsid w:val="00471A08"/>
    <w:rsid w:val="004852DF"/>
    <w:rsid w:val="004C1774"/>
    <w:rsid w:val="004E606E"/>
    <w:rsid w:val="004E7008"/>
    <w:rsid w:val="004F5DB1"/>
    <w:rsid w:val="005022FA"/>
    <w:rsid w:val="005040CE"/>
    <w:rsid w:val="005177FB"/>
    <w:rsid w:val="005712BE"/>
    <w:rsid w:val="005E6305"/>
    <w:rsid w:val="005E73D0"/>
    <w:rsid w:val="006075D7"/>
    <w:rsid w:val="006923AE"/>
    <w:rsid w:val="00692D3C"/>
    <w:rsid w:val="006C0639"/>
    <w:rsid w:val="006E6A62"/>
    <w:rsid w:val="00707C18"/>
    <w:rsid w:val="00720C1A"/>
    <w:rsid w:val="007811D6"/>
    <w:rsid w:val="007B3F2F"/>
    <w:rsid w:val="007C15B3"/>
    <w:rsid w:val="007C35C7"/>
    <w:rsid w:val="00820CE5"/>
    <w:rsid w:val="0085556B"/>
    <w:rsid w:val="0088197F"/>
    <w:rsid w:val="008A5A39"/>
    <w:rsid w:val="00906346"/>
    <w:rsid w:val="009076FD"/>
    <w:rsid w:val="009116C7"/>
    <w:rsid w:val="0097475E"/>
    <w:rsid w:val="00986139"/>
    <w:rsid w:val="00993CD2"/>
    <w:rsid w:val="009C271C"/>
    <w:rsid w:val="009F7F03"/>
    <w:rsid w:val="00A02D2F"/>
    <w:rsid w:val="00A0615D"/>
    <w:rsid w:val="00A30306"/>
    <w:rsid w:val="00A305E4"/>
    <w:rsid w:val="00A9069D"/>
    <w:rsid w:val="00AA20FF"/>
    <w:rsid w:val="00AB4BA0"/>
    <w:rsid w:val="00AE77E3"/>
    <w:rsid w:val="00AF165A"/>
    <w:rsid w:val="00B37CAB"/>
    <w:rsid w:val="00B40A2B"/>
    <w:rsid w:val="00B41190"/>
    <w:rsid w:val="00B742F7"/>
    <w:rsid w:val="00B74410"/>
    <w:rsid w:val="00C109CC"/>
    <w:rsid w:val="00C12073"/>
    <w:rsid w:val="00C13265"/>
    <w:rsid w:val="00C30696"/>
    <w:rsid w:val="00C55622"/>
    <w:rsid w:val="00C666ED"/>
    <w:rsid w:val="00C74CB5"/>
    <w:rsid w:val="00CC19E3"/>
    <w:rsid w:val="00CC49DA"/>
    <w:rsid w:val="00CF1E3A"/>
    <w:rsid w:val="00D35E8B"/>
    <w:rsid w:val="00D41621"/>
    <w:rsid w:val="00D47B8A"/>
    <w:rsid w:val="00D83D90"/>
    <w:rsid w:val="00D93DF3"/>
    <w:rsid w:val="00DD066C"/>
    <w:rsid w:val="00DD0C2D"/>
    <w:rsid w:val="00DD0FF1"/>
    <w:rsid w:val="00E024D3"/>
    <w:rsid w:val="00EC5507"/>
    <w:rsid w:val="00ED40CE"/>
    <w:rsid w:val="00F472E2"/>
    <w:rsid w:val="00F518C5"/>
    <w:rsid w:val="00FE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4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4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zoinza@mail.ru" TargetMode="External"/><Relationship Id="rId13" Type="http://schemas.openxmlformats.org/officeDocument/2006/relationships/hyperlink" Target="http://www.consultant.ru/document/cons_doc_LAW_406132/3446ddfcafad7edd45fa9e4766584f3a09c11d98/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inzenskij-r73.gosweb.gosuslugi.ru" TargetMode="External"/><Relationship Id="rId12" Type="http://schemas.openxmlformats.org/officeDocument/2006/relationships/hyperlink" Target="https://www.roseltorg.ru/_flysystem/webdav/2023/03/01/reglam_178_28022023.pdf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10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www.consultant.ru/document/cons_doc_LAW_406132/3446ddfcafad7edd45fa9e4766584f3a09c11d9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172D3-E1C5-4727-8EB1-5857C587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16</Pages>
  <Words>5993</Words>
  <Characters>34161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89</cp:revision>
  <cp:lastPrinted>2024-02-05T09:40:00Z</cp:lastPrinted>
  <dcterms:created xsi:type="dcterms:W3CDTF">2023-03-17T04:21:00Z</dcterms:created>
  <dcterms:modified xsi:type="dcterms:W3CDTF">2025-01-23T06:31:00Z</dcterms:modified>
</cp:coreProperties>
</file>